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D3367C" w14:textId="24A325FB" w:rsidR="009C5995" w:rsidRDefault="009C5995" w:rsidP="009C5995">
      <w:pPr>
        <w:pStyle w:val="3GPPHeader"/>
        <w:spacing w:after="60"/>
        <w:rPr>
          <w:sz w:val="32"/>
          <w:szCs w:val="32"/>
          <w:highlight w:val="yellow"/>
        </w:rPr>
      </w:pPr>
      <w:r>
        <w:t>3GPP TSG-RAN WG2 #100</w:t>
      </w:r>
      <w:r>
        <w:tab/>
      </w:r>
      <w:proofErr w:type="spellStart"/>
      <w:r>
        <w:rPr>
          <w:sz w:val="32"/>
          <w:szCs w:val="32"/>
        </w:rPr>
        <w:t>Tdoc</w:t>
      </w:r>
      <w:proofErr w:type="spellEnd"/>
      <w:r>
        <w:rPr>
          <w:sz w:val="32"/>
          <w:szCs w:val="32"/>
        </w:rPr>
        <w:t xml:space="preserve"> R2-17</w:t>
      </w:r>
      <w:r w:rsidR="00BF449C">
        <w:rPr>
          <w:sz w:val="32"/>
          <w:szCs w:val="32"/>
        </w:rPr>
        <w:t>13486</w:t>
      </w:r>
    </w:p>
    <w:p w14:paraId="08DE20AC" w14:textId="60B6BA4E" w:rsidR="009C5995" w:rsidRDefault="009C5995" w:rsidP="009C5995">
      <w:pPr>
        <w:pStyle w:val="3GPPHeader"/>
      </w:pPr>
      <w:r>
        <w:t>Reno, US, 27</w:t>
      </w:r>
      <w:r>
        <w:rPr>
          <w:vertAlign w:val="superscript"/>
        </w:rPr>
        <w:t>th</w:t>
      </w:r>
      <w:r>
        <w:t xml:space="preserve"> Nov – 1</w:t>
      </w:r>
      <w:r>
        <w:rPr>
          <w:vertAlign w:val="superscript"/>
        </w:rPr>
        <w:t>st</w:t>
      </w:r>
      <w:r>
        <w:t xml:space="preserve"> Dec 2017 </w:t>
      </w:r>
      <w:r>
        <w:tab/>
      </w:r>
    </w:p>
    <w:p w14:paraId="4C981012" w14:textId="77777777" w:rsidR="009C5995" w:rsidRDefault="009C5995" w:rsidP="009C5995">
      <w:pPr>
        <w:pStyle w:val="3GPPHeader"/>
      </w:pPr>
    </w:p>
    <w:p w14:paraId="00AD551D" w14:textId="7D5A1D47" w:rsidR="009C5995" w:rsidRDefault="009C5995" w:rsidP="009C5995">
      <w:pPr>
        <w:pStyle w:val="3GPPHeader"/>
        <w:rPr>
          <w:sz w:val="22"/>
          <w:szCs w:val="22"/>
          <w:lang w:val="en-US"/>
        </w:rPr>
      </w:pPr>
      <w:r>
        <w:rPr>
          <w:sz w:val="22"/>
          <w:szCs w:val="22"/>
          <w:lang w:val="en-US"/>
        </w:rPr>
        <w:t>Agenda Item:</w:t>
      </w:r>
      <w:r>
        <w:rPr>
          <w:sz w:val="22"/>
          <w:szCs w:val="22"/>
          <w:lang w:val="en-US"/>
        </w:rPr>
        <w:tab/>
        <w:t>10.3.1.</w:t>
      </w:r>
      <w:r w:rsidR="0079353C">
        <w:rPr>
          <w:sz w:val="22"/>
          <w:szCs w:val="22"/>
          <w:lang w:val="en-US"/>
        </w:rPr>
        <w:t>12</w:t>
      </w:r>
    </w:p>
    <w:p w14:paraId="4977177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CB50B2" w14:textId="63AA439B" w:rsidR="00E90E49" w:rsidRPr="00CE0424" w:rsidRDefault="003D3C45" w:rsidP="00311702">
      <w:pPr>
        <w:pStyle w:val="3GPPHeader"/>
        <w:rPr>
          <w:sz w:val="22"/>
          <w:szCs w:val="22"/>
        </w:rPr>
      </w:pPr>
      <w:r>
        <w:rPr>
          <w:sz w:val="22"/>
          <w:szCs w:val="22"/>
        </w:rPr>
        <w:t>Title:</w:t>
      </w:r>
      <w:r w:rsidR="00E90E49" w:rsidRPr="00CE0424">
        <w:rPr>
          <w:sz w:val="22"/>
          <w:szCs w:val="22"/>
        </w:rPr>
        <w:tab/>
      </w:r>
      <w:r w:rsidR="00F06810">
        <w:rPr>
          <w:sz w:val="22"/>
          <w:szCs w:val="22"/>
        </w:rPr>
        <w:t>Open issues for PHR in LTE-NR DC</w:t>
      </w:r>
      <w:bookmarkStart w:id="0" w:name="_GoBack"/>
      <w:bookmarkEnd w:id="0"/>
    </w:p>
    <w:p w14:paraId="2AE3A62A" w14:textId="7D2FC8A0" w:rsidR="00E90E49" w:rsidRDefault="00E90E49" w:rsidP="00D546FF">
      <w:pPr>
        <w:pStyle w:val="3GPPHeader"/>
        <w:rPr>
          <w:sz w:val="22"/>
          <w:szCs w:val="22"/>
        </w:rPr>
      </w:pPr>
      <w:r w:rsidRPr="005539B3">
        <w:rPr>
          <w:sz w:val="22"/>
          <w:szCs w:val="22"/>
        </w:rPr>
        <w:t>Document for:</w:t>
      </w:r>
      <w:r w:rsidRPr="005539B3">
        <w:rPr>
          <w:sz w:val="22"/>
          <w:szCs w:val="22"/>
        </w:rPr>
        <w:tab/>
        <w:t>Discussion, Decision</w:t>
      </w:r>
    </w:p>
    <w:p w14:paraId="2D3095E4" w14:textId="77777777" w:rsidR="005539B3" w:rsidRPr="00CE0424" w:rsidRDefault="005539B3" w:rsidP="00D546FF">
      <w:pPr>
        <w:pStyle w:val="3GPPHeader"/>
        <w:rPr>
          <w:sz w:val="22"/>
          <w:szCs w:val="22"/>
        </w:rPr>
      </w:pPr>
    </w:p>
    <w:p w14:paraId="4AB47F23" w14:textId="77777777" w:rsidR="00DB6F44" w:rsidRPr="00936C1E" w:rsidRDefault="00DB6F44" w:rsidP="00DB6F44">
      <w:pPr>
        <w:pStyle w:val="Heading1"/>
        <w:rPr>
          <w:lang w:val="en-US"/>
        </w:rPr>
      </w:pPr>
      <w:r w:rsidRPr="00936C1E">
        <w:rPr>
          <w:lang w:val="en-US"/>
        </w:rPr>
        <w:t>Introduction</w:t>
      </w:r>
    </w:p>
    <w:p w14:paraId="097E4DD7" w14:textId="0F8819B4" w:rsidR="00DB6F44" w:rsidRDefault="00D24965" w:rsidP="00DB6F44">
      <w:pPr>
        <w:rPr>
          <w:lang w:val="en-US"/>
        </w:rPr>
      </w:pPr>
      <w:r>
        <w:rPr>
          <w:bCs/>
          <w:lang w:val="en-US"/>
        </w:rPr>
        <w:t xml:space="preserve">At RAN2#99 </w:t>
      </w:r>
      <w:proofErr w:type="spellStart"/>
      <w:r>
        <w:rPr>
          <w:bCs/>
          <w:lang w:val="en-US"/>
        </w:rPr>
        <w:t>bis</w:t>
      </w:r>
      <w:proofErr w:type="spellEnd"/>
      <w:r w:rsidR="00DB6F44" w:rsidRPr="00936C1E">
        <w:rPr>
          <w:lang w:val="en-US"/>
        </w:rPr>
        <w:t>,</w:t>
      </w:r>
      <w:r w:rsidR="00DB6F44" w:rsidRPr="00936C1E">
        <w:rPr>
          <w:bCs/>
          <w:lang w:val="en-US"/>
        </w:rPr>
        <w:t xml:space="preserve"> some agreements related to </w:t>
      </w:r>
      <w:r w:rsidR="00266A09">
        <w:rPr>
          <w:lang w:val="en-US"/>
        </w:rPr>
        <w:t>PHR</w:t>
      </w:r>
      <w:r w:rsidR="00266A09" w:rsidRPr="00936C1E">
        <w:rPr>
          <w:lang w:val="en-US"/>
        </w:rPr>
        <w:t xml:space="preserve"> </w:t>
      </w:r>
      <w:r w:rsidR="00DB6F44" w:rsidRPr="00936C1E">
        <w:rPr>
          <w:lang w:val="en-US"/>
        </w:rPr>
        <w:t>were reached</w:t>
      </w:r>
      <w:r w:rsidR="00266A09">
        <w:rPr>
          <w:lang w:val="en-US"/>
        </w:rPr>
        <w:t xml:space="preserve"> and highlighted as below</w:t>
      </w:r>
      <w:r w:rsidR="00DB6F44" w:rsidRPr="00936C1E">
        <w:rPr>
          <w:lang w:val="en-US"/>
        </w:rPr>
        <w:t xml:space="preserve">. </w:t>
      </w:r>
    </w:p>
    <w:p w14:paraId="3425854A" w14:textId="77777777" w:rsidR="00266A09" w:rsidRPr="00E4363C" w:rsidRDefault="00266A09" w:rsidP="00E4363C">
      <w:pPr>
        <w:pStyle w:val="ListParagraph"/>
        <w:widowControl w:val="0"/>
        <w:numPr>
          <w:ilvl w:val="0"/>
          <w:numId w:val="30"/>
        </w:numPr>
        <w:jc w:val="both"/>
        <w:rPr>
          <w:rFonts w:ascii="Arial" w:hAnsi="Arial" w:cs="Arial"/>
          <w:sz w:val="20"/>
          <w:lang w:val="en-US"/>
        </w:rPr>
      </w:pPr>
      <w:r w:rsidRPr="00E4363C">
        <w:rPr>
          <w:rFonts w:ascii="Arial" w:hAnsi="Arial" w:cs="Arial"/>
          <w:sz w:val="20"/>
          <w:lang w:val="en-US"/>
        </w:rPr>
        <w:t xml:space="preserve">One octet </w:t>
      </w:r>
      <w:r w:rsidRPr="006A30EB">
        <w:rPr>
          <w:rFonts w:ascii="Arial" w:hAnsi="Arial" w:cs="Arial"/>
          <w:sz w:val="20"/>
          <w:lang w:val="en-US"/>
        </w:rPr>
        <w:t xml:space="preserve">of bitmap is used for indicating the presence of PH per </w:t>
      </w:r>
      <w:proofErr w:type="spellStart"/>
      <w:r w:rsidRPr="006A30EB">
        <w:rPr>
          <w:rFonts w:ascii="Arial" w:hAnsi="Arial" w:cs="Arial"/>
          <w:sz w:val="20"/>
          <w:lang w:val="en-US"/>
        </w:rPr>
        <w:t>SCell</w:t>
      </w:r>
      <w:proofErr w:type="spellEnd"/>
      <w:r w:rsidRPr="006A30EB">
        <w:rPr>
          <w:rFonts w:ascii="Arial" w:hAnsi="Arial" w:cs="Arial"/>
          <w:sz w:val="20"/>
          <w:lang w:val="en-US"/>
        </w:rPr>
        <w:t xml:space="preserve"> </w:t>
      </w:r>
      <w:r w:rsidRPr="00E4363C">
        <w:rPr>
          <w:rFonts w:ascii="Arial" w:hAnsi="Arial" w:cs="Arial"/>
          <w:sz w:val="20"/>
          <w:lang w:val="en-US"/>
        </w:rPr>
        <w:t xml:space="preserve">when the highest </w:t>
      </w:r>
      <w:proofErr w:type="spellStart"/>
      <w:r w:rsidRPr="00E4363C">
        <w:rPr>
          <w:rFonts w:ascii="Arial" w:hAnsi="Arial" w:cs="Arial"/>
          <w:sz w:val="20"/>
          <w:lang w:val="en-US"/>
        </w:rPr>
        <w:t>SCellIndex</w:t>
      </w:r>
      <w:proofErr w:type="spellEnd"/>
      <w:r w:rsidRPr="00E4363C">
        <w:rPr>
          <w:rFonts w:ascii="Arial" w:hAnsi="Arial" w:cs="Arial"/>
          <w:sz w:val="20"/>
          <w:lang w:val="en-US"/>
        </w:rPr>
        <w:t xml:space="preserve"> of </w:t>
      </w:r>
      <w:proofErr w:type="spellStart"/>
      <w:r w:rsidRPr="00E4363C">
        <w:rPr>
          <w:rFonts w:ascii="Arial" w:hAnsi="Arial" w:cs="Arial"/>
          <w:sz w:val="20"/>
          <w:lang w:val="en-US"/>
        </w:rPr>
        <w:t>SCell</w:t>
      </w:r>
      <w:proofErr w:type="spellEnd"/>
      <w:r w:rsidRPr="00E4363C">
        <w:rPr>
          <w:rFonts w:ascii="Arial" w:hAnsi="Arial" w:cs="Arial"/>
          <w:sz w:val="20"/>
          <w:lang w:val="en-US"/>
        </w:rPr>
        <w:t xml:space="preserve"> with configured uplink is less than 8. Otherwise four octets are used.  Editor’s note “it depends on whether we support 32 carriers”</w:t>
      </w:r>
    </w:p>
    <w:p w14:paraId="1E7749AB" w14:textId="77777777" w:rsidR="00266A09" w:rsidRPr="00E4363C" w:rsidRDefault="00266A09" w:rsidP="00E4363C">
      <w:pPr>
        <w:pStyle w:val="ListParagraph"/>
        <w:widowControl w:val="0"/>
        <w:numPr>
          <w:ilvl w:val="0"/>
          <w:numId w:val="30"/>
        </w:numPr>
        <w:jc w:val="both"/>
        <w:rPr>
          <w:rFonts w:ascii="Arial" w:hAnsi="Arial" w:cs="Arial"/>
          <w:sz w:val="20"/>
        </w:rPr>
      </w:pPr>
      <w:r w:rsidRPr="00E4363C">
        <w:rPr>
          <w:rFonts w:ascii="Arial" w:hAnsi="Arial" w:cs="Arial"/>
          <w:sz w:val="20"/>
          <w:highlight w:val="yellow"/>
          <w:lang w:val="en-US"/>
        </w:rPr>
        <w:t>For EN-DC the assumption is that the cell index space is shared between LTE and NR</w:t>
      </w:r>
      <w:r w:rsidRPr="00E4363C">
        <w:rPr>
          <w:rFonts w:ascii="Arial" w:hAnsi="Arial" w:cs="Arial"/>
          <w:sz w:val="20"/>
          <w:lang w:val="en-US"/>
        </w:rPr>
        <w:t xml:space="preserve">.  </w:t>
      </w:r>
      <w:r w:rsidRPr="00E4363C">
        <w:rPr>
          <w:rFonts w:ascii="Arial" w:hAnsi="Arial" w:cs="Arial"/>
          <w:sz w:val="20"/>
        </w:rPr>
        <w:t>[CB for CP]</w:t>
      </w:r>
    </w:p>
    <w:p w14:paraId="64F124A3" w14:textId="07B79D33" w:rsidR="00DB6F44" w:rsidRPr="00266A09" w:rsidRDefault="00DB6F44" w:rsidP="00B308E3">
      <w:pPr>
        <w:rPr>
          <w:rFonts w:cs="Arial"/>
          <w:lang w:val="en-US" w:eastAsia="ja-JP"/>
        </w:rPr>
      </w:pPr>
    </w:p>
    <w:p w14:paraId="0239AEDD" w14:textId="4B9F172E" w:rsidR="00DB6F44" w:rsidRPr="00936C1E" w:rsidRDefault="00DD432B" w:rsidP="00DB6F44">
      <w:pPr>
        <w:rPr>
          <w:lang w:val="en-US"/>
        </w:rPr>
      </w:pPr>
      <w:r>
        <w:rPr>
          <w:rFonts w:eastAsia="SimSun"/>
        </w:rPr>
        <w:t xml:space="preserve">Whether the cell index space is shared between LTE and NR, or per CG is discussed in RAN2. This contribution analyses the pros and cons of both options, and gives our view. </w:t>
      </w:r>
    </w:p>
    <w:p w14:paraId="79F603B6" w14:textId="0B1C327C" w:rsidR="00DB6F44" w:rsidRDefault="00DB6F44" w:rsidP="00DB6F44">
      <w:pPr>
        <w:pStyle w:val="Heading1"/>
        <w:rPr>
          <w:lang w:val="en-US"/>
        </w:rPr>
      </w:pPr>
      <w:r w:rsidRPr="00936C1E">
        <w:rPr>
          <w:lang w:val="en-US"/>
        </w:rPr>
        <w:t>Discussion</w:t>
      </w:r>
    </w:p>
    <w:p w14:paraId="4C0AE6B7" w14:textId="77777777" w:rsidR="00060BD7" w:rsidRDefault="00060BD7" w:rsidP="00060BD7">
      <w:pPr>
        <w:rPr>
          <w:rFonts w:ascii="Times New Roman" w:hAnsi="Times New Roman"/>
          <w:noProof/>
        </w:rPr>
      </w:pPr>
      <w:r>
        <w:rPr>
          <w:noProof/>
        </w:rPr>
        <w:t xml:space="preserve">In LTE-LTE DC, if the MAC entity has UL resources allocated for new transmission for this TTI </w:t>
      </w:r>
      <w:r w:rsidRPr="00060BD7">
        <w:rPr>
          <w:noProof/>
          <w:highlight w:val="yellow"/>
        </w:rPr>
        <w:t>the MAC entity</w:t>
      </w:r>
      <w:r>
        <w:rPr>
          <w:noProof/>
        </w:rPr>
        <w:t xml:space="preserve"> shall:</w:t>
      </w:r>
    </w:p>
    <w:p w14:paraId="5941C8EE" w14:textId="77777777" w:rsidR="00060BD7" w:rsidRDefault="00060BD7" w:rsidP="00060BD7">
      <w:pPr>
        <w:pStyle w:val="B1"/>
        <w:rPr>
          <w:noProof/>
        </w:rPr>
      </w:pPr>
      <w:r>
        <w:rPr>
          <w:noProof/>
        </w:rPr>
        <w:t>-</w:t>
      </w:r>
      <w:r>
        <w:rPr>
          <w:noProof/>
        </w:rPr>
        <w:tab/>
        <w:t xml:space="preserve">if it is the first UL resource allocated for a new transmission since the last MAC reset, start </w:t>
      </w:r>
      <w:r>
        <w:rPr>
          <w:i/>
          <w:noProof/>
        </w:rPr>
        <w:t>periodicPHR-Timer</w:t>
      </w:r>
      <w:r>
        <w:rPr>
          <w:noProof/>
        </w:rPr>
        <w:t>;</w:t>
      </w:r>
    </w:p>
    <w:p w14:paraId="4BC6331E" w14:textId="77777777" w:rsidR="00060BD7" w:rsidRDefault="00060BD7" w:rsidP="00060BD7">
      <w:pPr>
        <w:pStyle w:val="B1"/>
        <w:rPr>
          <w:noProof/>
        </w:rPr>
      </w:pPr>
      <w:r>
        <w:rPr>
          <w:noProof/>
        </w:rPr>
        <w:t>-</w:t>
      </w:r>
      <w:r>
        <w:rPr>
          <w:noProof/>
        </w:rPr>
        <w:tab/>
        <w:t>if the Power Headroom reporting procedure determines that at least one PHR has been triggered and not cancelled, and;</w:t>
      </w:r>
    </w:p>
    <w:p w14:paraId="0DA3EBE1" w14:textId="77777777" w:rsidR="00060BD7" w:rsidRDefault="00060BD7" w:rsidP="00060BD7">
      <w:pPr>
        <w:pStyle w:val="B1"/>
        <w:rPr>
          <w:noProof/>
        </w:rPr>
      </w:pPr>
      <w:r>
        <w:rPr>
          <w:noProof/>
        </w:rPr>
        <w:t>-</w:t>
      </w:r>
      <w:r>
        <w:rPr>
          <w:noProof/>
        </w:rPr>
        <w:tab/>
        <w:t xml:space="preserve">if the allocated UL resources can accommodate </w:t>
      </w:r>
      <w:r>
        <w:rPr>
          <w:noProof/>
          <w:lang w:eastAsia="zh-CN"/>
        </w:rPr>
        <w:t xml:space="preserve">the </w:t>
      </w:r>
      <w:r>
        <w:rPr>
          <w:noProof/>
        </w:rPr>
        <w:t>MAC control element for PHR which the MAC entity is configured to transmit</w:t>
      </w:r>
      <w:r>
        <w:rPr>
          <w:noProof/>
          <w:lang w:eastAsia="zh-CN"/>
        </w:rPr>
        <w:t>,</w:t>
      </w:r>
      <w:r>
        <w:t xml:space="preserve"> plus its </w:t>
      </w:r>
      <w:proofErr w:type="spellStart"/>
      <w:r>
        <w:t>subheader</w:t>
      </w:r>
      <w:proofErr w:type="spellEnd"/>
      <w:r>
        <w:rPr>
          <w:lang w:eastAsia="zh-CN"/>
        </w:rPr>
        <w:t>,</w:t>
      </w:r>
      <w:r>
        <w:rPr>
          <w:noProof/>
        </w:rPr>
        <w:t xml:space="preserve"> as a result of logical channel prioritization:</w:t>
      </w:r>
    </w:p>
    <w:p w14:paraId="649CD261" w14:textId="77777777" w:rsidR="00060BD7" w:rsidRDefault="00060BD7" w:rsidP="00060BD7">
      <w:pPr>
        <w:pStyle w:val="B2"/>
        <w:rPr>
          <w:noProof/>
        </w:rPr>
      </w:pPr>
      <w:r>
        <w:rPr>
          <w:noProof/>
        </w:rPr>
        <w:t>-</w:t>
      </w:r>
      <w:r>
        <w:rPr>
          <w:noProof/>
        </w:rPr>
        <w:tab/>
        <w:t xml:space="preserve">if </w:t>
      </w:r>
      <w:r>
        <w:rPr>
          <w:i/>
          <w:noProof/>
        </w:rPr>
        <w:t>dualConnectivityPHR</w:t>
      </w:r>
      <w:r>
        <w:rPr>
          <w:noProof/>
        </w:rPr>
        <w:t xml:space="preserve"> is configured:</w:t>
      </w:r>
    </w:p>
    <w:p w14:paraId="6F3FC38E" w14:textId="0513BF4F" w:rsidR="00060BD7" w:rsidRPr="00DD6DFD" w:rsidRDefault="00060BD7" w:rsidP="00060BD7">
      <w:pPr>
        <w:pStyle w:val="B3"/>
        <w:rPr>
          <w:noProof/>
          <w:color w:val="FFFF00"/>
        </w:rPr>
      </w:pPr>
      <w:r w:rsidRPr="00060BD7">
        <w:rPr>
          <w:i/>
          <w:noProof/>
          <w:u w:val="single"/>
        </w:rPr>
        <w:t>in brief, the PH type and value for every serving cell are determined here</w:t>
      </w:r>
    </w:p>
    <w:p w14:paraId="7C3E0323" w14:textId="77777777" w:rsidR="00060BD7" w:rsidRDefault="00060BD7" w:rsidP="00060BD7">
      <w:pPr>
        <w:pStyle w:val="B3"/>
        <w:rPr>
          <w:noProof/>
        </w:rPr>
      </w:pPr>
      <w:r>
        <w:rPr>
          <w:noProof/>
        </w:rPr>
        <w:t>-</w:t>
      </w:r>
      <w:r>
        <w:rPr>
          <w:noProof/>
        </w:rPr>
        <w:tab/>
        <w:t>instruct the Multiplexing and Assembly procedure to generate and transmit a Dual Connectivity PHR MAC control element as defined in subclause 6.1.3.6b based on the values reported by the physical layer;</w:t>
      </w:r>
    </w:p>
    <w:p w14:paraId="720B4CEC" w14:textId="77777777" w:rsidR="00060BD7" w:rsidRPr="005539B3" w:rsidRDefault="00060BD7" w:rsidP="00060BD7">
      <w:pPr>
        <w:pStyle w:val="B2"/>
        <w:rPr>
          <w:noProof/>
          <w:highlight w:val="yellow"/>
        </w:rPr>
      </w:pPr>
      <w:r w:rsidRPr="005539B3">
        <w:rPr>
          <w:noProof/>
          <w:highlight w:val="yellow"/>
        </w:rPr>
        <w:t>-</w:t>
      </w:r>
      <w:r w:rsidRPr="005539B3">
        <w:rPr>
          <w:noProof/>
          <w:highlight w:val="yellow"/>
        </w:rPr>
        <w:tab/>
        <w:t xml:space="preserve">start or restart </w:t>
      </w:r>
      <w:r w:rsidRPr="005539B3">
        <w:rPr>
          <w:i/>
          <w:noProof/>
          <w:highlight w:val="yellow"/>
        </w:rPr>
        <w:t>periodicPHR-Timer</w:t>
      </w:r>
      <w:r w:rsidRPr="005539B3">
        <w:rPr>
          <w:noProof/>
          <w:highlight w:val="yellow"/>
        </w:rPr>
        <w:t>;</w:t>
      </w:r>
    </w:p>
    <w:p w14:paraId="3692F9A3" w14:textId="77777777" w:rsidR="00060BD7" w:rsidRPr="00DD6DFD" w:rsidRDefault="00060BD7" w:rsidP="00060BD7">
      <w:pPr>
        <w:pStyle w:val="B2"/>
        <w:rPr>
          <w:noProof/>
          <w:highlight w:val="yellow"/>
        </w:rPr>
      </w:pPr>
      <w:r w:rsidRPr="00DD6DFD">
        <w:rPr>
          <w:noProof/>
          <w:highlight w:val="yellow"/>
        </w:rPr>
        <w:t>-</w:t>
      </w:r>
      <w:r w:rsidRPr="00DD6DFD">
        <w:rPr>
          <w:noProof/>
          <w:highlight w:val="yellow"/>
        </w:rPr>
        <w:tab/>
        <w:t xml:space="preserve">start or restart </w:t>
      </w:r>
      <w:r w:rsidRPr="00DD6DFD">
        <w:rPr>
          <w:i/>
          <w:noProof/>
          <w:highlight w:val="yellow"/>
        </w:rPr>
        <w:t>prohibitPHR-Timer</w:t>
      </w:r>
      <w:r w:rsidRPr="00DD6DFD">
        <w:rPr>
          <w:noProof/>
          <w:highlight w:val="yellow"/>
        </w:rPr>
        <w:t>;</w:t>
      </w:r>
    </w:p>
    <w:p w14:paraId="3F7FBE74" w14:textId="77777777" w:rsidR="00060BD7" w:rsidRDefault="00060BD7" w:rsidP="00060BD7">
      <w:pPr>
        <w:pStyle w:val="B2"/>
        <w:rPr>
          <w:noProof/>
        </w:rPr>
      </w:pPr>
      <w:r w:rsidRPr="00DD6DFD">
        <w:rPr>
          <w:noProof/>
          <w:highlight w:val="yellow"/>
        </w:rPr>
        <w:t>-</w:t>
      </w:r>
      <w:r w:rsidRPr="00DD6DFD">
        <w:rPr>
          <w:noProof/>
          <w:highlight w:val="yellow"/>
        </w:rPr>
        <w:tab/>
        <w:t>cancel all triggered PHR(s)</w:t>
      </w:r>
      <w:r>
        <w:rPr>
          <w:noProof/>
        </w:rPr>
        <w:t>.</w:t>
      </w:r>
    </w:p>
    <w:p w14:paraId="22BA329F" w14:textId="7FCEDAB7" w:rsidR="00060BD7" w:rsidRPr="00DD6DFD" w:rsidRDefault="00060BD7" w:rsidP="00060BD7">
      <w:pPr>
        <w:rPr>
          <w:rFonts w:eastAsiaTheme="minorEastAsia"/>
        </w:rPr>
      </w:pPr>
      <w:r>
        <w:rPr>
          <w:rFonts w:eastAsiaTheme="minorEastAsia"/>
        </w:rPr>
        <w:t xml:space="preserve">According to LTE spec, when any UE MAC entity receives a grant, if there is at least one PHR that has been triggered, the UE MAC would generate a PHR MAC CE, comprising PHs for serving cells in both CGs, and transmit it to the PHY layer. After this transmission, all triggered PHRs in this UE MAC (associated with either </w:t>
      </w:r>
      <w:r>
        <w:rPr>
          <w:rFonts w:eastAsiaTheme="minorEastAsia"/>
        </w:rPr>
        <w:lastRenderedPageBreak/>
        <w:t>MCG or SCG), must be cancelled, and the timers are started or restarted. For LTE-NR DC, we think the same cancellation rules should be applied, since each CG applies its own PHR triggering. The cancellation across CGs would break this</w:t>
      </w:r>
      <w:r w:rsidR="007C616E">
        <w:rPr>
          <w:rFonts w:eastAsiaTheme="minorEastAsia"/>
        </w:rPr>
        <w:t xml:space="preserve"> rule</w:t>
      </w:r>
      <w:r>
        <w:rPr>
          <w:rFonts w:eastAsiaTheme="minorEastAsia"/>
        </w:rPr>
        <w:t>.</w:t>
      </w:r>
    </w:p>
    <w:p w14:paraId="5C34C65E" w14:textId="1548A848" w:rsidR="00060BD7" w:rsidRPr="003F5706" w:rsidRDefault="00060BD7" w:rsidP="00060BD7">
      <w:pPr>
        <w:pStyle w:val="Proposal"/>
        <w:rPr>
          <w:lang w:val="en-US"/>
        </w:rPr>
      </w:pPr>
      <w:bookmarkStart w:id="1" w:name="_Toc498620204"/>
      <w:r>
        <w:rPr>
          <w:rFonts w:cs="Arial"/>
          <w:color w:val="000000" w:themeColor="text1"/>
        </w:rPr>
        <w:t>As in LTE-LTE DC, after transmission</w:t>
      </w:r>
      <w:r w:rsidR="00287B1C">
        <w:rPr>
          <w:rFonts w:cs="Arial"/>
          <w:color w:val="000000" w:themeColor="text1"/>
        </w:rPr>
        <w:t xml:space="preserve"> of</w:t>
      </w:r>
      <w:r>
        <w:rPr>
          <w:rFonts w:cs="Arial"/>
          <w:color w:val="000000" w:themeColor="text1"/>
        </w:rPr>
        <w:t xml:space="preserve"> a PHR comprising PHs for both MCG and SCG by any UE MAC entity upon reception of a grant, the UE only cancels all triggered PHRs and reset timers (prohibit and periodic timer) in the corresponding CG.</w:t>
      </w:r>
      <w:bookmarkEnd w:id="1"/>
      <w:r>
        <w:rPr>
          <w:rFonts w:cs="Arial"/>
          <w:color w:val="000000" w:themeColor="text1"/>
        </w:rPr>
        <w:t xml:space="preserve"> </w:t>
      </w:r>
    </w:p>
    <w:p w14:paraId="6FAADE5C" w14:textId="77777777" w:rsidR="00060BD7" w:rsidRPr="005539B3" w:rsidRDefault="00060BD7" w:rsidP="00287B1C">
      <w:pPr>
        <w:pStyle w:val="Heading2"/>
        <w:rPr>
          <w:rStyle w:val="BodyTextChar"/>
        </w:rPr>
      </w:pPr>
      <w:r w:rsidRPr="005539B3">
        <w:rPr>
          <w:rStyle w:val="BodyTextChar"/>
        </w:rPr>
        <w:t>Index of serving cells</w:t>
      </w:r>
    </w:p>
    <w:p w14:paraId="092163F0" w14:textId="77777777" w:rsidR="00060BD7" w:rsidRPr="006A30EB" w:rsidRDefault="00060BD7" w:rsidP="005539B3">
      <w:pPr>
        <w:pStyle w:val="BodyText"/>
        <w:rPr>
          <w:rStyle w:val="Emphasis"/>
          <w:rFonts w:cs="Arial"/>
          <w:b w:val="0"/>
          <w:sz w:val="32"/>
          <w:szCs w:val="32"/>
        </w:rPr>
      </w:pPr>
      <w:r w:rsidRPr="006255E8">
        <w:rPr>
          <w:lang w:val="en-US" w:eastAsia="en-US"/>
        </w:rPr>
        <w:t>In LTE</w:t>
      </w:r>
      <w:r w:rsidRPr="00091597">
        <w:rPr>
          <w:lang w:val="en-US" w:eastAsia="en-US"/>
        </w:rPr>
        <w:t>-LTE DC</w:t>
      </w:r>
      <w:r w:rsidRPr="006A30EB">
        <w:rPr>
          <w:lang w:val="en-US" w:eastAsia="en-US"/>
        </w:rPr>
        <w:t xml:space="preserve">, each serving cell from either of both CGs, are indexed in a common space across both CGs, i.e., per UE. Each serving cell has its unique index. In this way, MN node can interpret PH values that carried in the combined PHR MAC CE, for cells in SCG, without </w:t>
      </w:r>
      <w:r w:rsidRPr="006A30EB">
        <w:rPr>
          <w:rStyle w:val="Emphasis"/>
          <w:rFonts w:cs="Arial"/>
          <w:b w:val="0"/>
        </w:rPr>
        <w:t xml:space="preserve">ambiguity. Vice versa, the SN node can also interpret PH values for serving cells in MCG. The current PHR format was designed accordingly, and fitting this common space. </w:t>
      </w:r>
    </w:p>
    <w:p w14:paraId="6103B30B" w14:textId="16725A2B" w:rsidR="00060BD7" w:rsidRPr="006A30EB" w:rsidRDefault="00954C2D" w:rsidP="005539B3">
      <w:pPr>
        <w:pStyle w:val="BodyText"/>
        <w:rPr>
          <w:rStyle w:val="Emphasis"/>
          <w:rFonts w:cs="Arial"/>
          <w:b w:val="0"/>
        </w:rPr>
      </w:pPr>
      <w:r>
        <w:rPr>
          <w:rStyle w:val="Emphasis"/>
          <w:rFonts w:cs="Arial"/>
          <w:b w:val="0"/>
        </w:rPr>
        <w:t>One</w:t>
      </w:r>
      <w:r w:rsidRPr="006A30EB">
        <w:rPr>
          <w:rStyle w:val="Emphasis"/>
          <w:rFonts w:cs="Arial"/>
          <w:b w:val="0"/>
        </w:rPr>
        <w:t xml:space="preserve"> </w:t>
      </w:r>
      <w:r w:rsidR="00060BD7" w:rsidRPr="006A30EB">
        <w:rPr>
          <w:rStyle w:val="Emphasis"/>
          <w:rFonts w:cs="Arial"/>
          <w:b w:val="0"/>
        </w:rPr>
        <w:t xml:space="preserve">may argue that it would be better to define an index for a serving cell within each CG, i.e., per CG. In this way, the index space is smaller than that with the common space. However, this would mean that we </w:t>
      </w:r>
      <w:proofErr w:type="gramStart"/>
      <w:r w:rsidR="00060BD7" w:rsidRPr="006A30EB">
        <w:rPr>
          <w:rStyle w:val="Emphasis"/>
          <w:rFonts w:cs="Arial"/>
          <w:b w:val="0"/>
        </w:rPr>
        <w:t>have to</w:t>
      </w:r>
      <w:proofErr w:type="gramEnd"/>
      <w:r w:rsidR="00060BD7" w:rsidRPr="006A30EB">
        <w:rPr>
          <w:rStyle w:val="Emphasis"/>
          <w:rFonts w:cs="Arial"/>
          <w:b w:val="0"/>
        </w:rPr>
        <w:t xml:space="preserve"> define new PHR format, to make it per CG. This is not aligned with the RAN2 design purpose for PHR. RAN2 has been aiming to have a unified PHR format for all scenarios. The recent RAN2 agreements have adopted the unified PHR format for CA scenarios and DC scenarios. </w:t>
      </w:r>
    </w:p>
    <w:p w14:paraId="65F8AA6D" w14:textId="77777777" w:rsidR="00060BD7" w:rsidRPr="006A30EB" w:rsidRDefault="00060BD7" w:rsidP="005539B3">
      <w:pPr>
        <w:pStyle w:val="BodyText"/>
        <w:rPr>
          <w:rStyle w:val="Emphasis"/>
          <w:rFonts w:cs="Arial"/>
          <w:b w:val="0"/>
        </w:rPr>
      </w:pPr>
      <w:r w:rsidRPr="006A30EB">
        <w:rPr>
          <w:rStyle w:val="Emphasis"/>
          <w:rFonts w:cs="Arial"/>
          <w:b w:val="0"/>
        </w:rPr>
        <w:t>Therefore, we think LTE-NR DC shall reuse LTE rules for the definition of the serving cell index.</w:t>
      </w:r>
    </w:p>
    <w:p w14:paraId="4659DE18" w14:textId="1991274B" w:rsidR="00060BD7" w:rsidRPr="00D2680E" w:rsidRDefault="00060BD7" w:rsidP="00060BD7">
      <w:pPr>
        <w:pStyle w:val="Observation"/>
        <w:rPr>
          <w:lang w:val="en-US"/>
        </w:rPr>
      </w:pPr>
      <w:bookmarkStart w:id="2" w:name="_Toc498513177"/>
      <w:bookmarkStart w:id="3" w:name="_Toc498620206"/>
      <w:r w:rsidRPr="0038574A">
        <w:rPr>
          <w:rFonts w:eastAsia="SimSun"/>
        </w:rPr>
        <w:t xml:space="preserve">The </w:t>
      </w:r>
      <w:r>
        <w:rPr>
          <w:rFonts w:eastAsia="SimSun"/>
        </w:rPr>
        <w:t>support of the serving cell index</w:t>
      </w:r>
      <w:r w:rsidRPr="0038574A">
        <w:rPr>
          <w:rFonts w:eastAsia="SimSun"/>
        </w:rPr>
        <w:t xml:space="preserve"> per CG requires a new PHR format</w:t>
      </w:r>
      <w:r>
        <w:rPr>
          <w:rFonts w:eastAsia="SimSun"/>
        </w:rPr>
        <w:t xml:space="preserve"> which adds unnecessary design complexity for PHR design</w:t>
      </w:r>
      <w:r w:rsidRPr="0038574A">
        <w:rPr>
          <w:rFonts w:eastAsia="SimSun"/>
        </w:rPr>
        <w:t>.</w:t>
      </w:r>
      <w:bookmarkEnd w:id="2"/>
      <w:bookmarkEnd w:id="3"/>
    </w:p>
    <w:p w14:paraId="18A815AF" w14:textId="77777777" w:rsidR="00060BD7" w:rsidRPr="003F5706" w:rsidRDefault="00060BD7" w:rsidP="00060BD7">
      <w:pPr>
        <w:pStyle w:val="Proposal"/>
        <w:rPr>
          <w:lang w:val="en-US"/>
        </w:rPr>
      </w:pPr>
      <w:bookmarkStart w:id="4" w:name="_Toc498620205"/>
      <w:r>
        <w:rPr>
          <w:rFonts w:cs="Arial"/>
          <w:lang w:val="en-US"/>
        </w:rPr>
        <w:t>As in LTE-LTE DC, the value range of the serving cell index for LTE-NR DC is defined across CGs, i.e., a common number space is defined per UE and used for MCG and SCG.</w:t>
      </w:r>
      <w:bookmarkEnd w:id="4"/>
    </w:p>
    <w:p w14:paraId="4C8B5833" w14:textId="15D3B293" w:rsidR="00DB6F44" w:rsidRPr="00936C1E" w:rsidRDefault="00DB6F44" w:rsidP="00DB6F44">
      <w:pPr>
        <w:pStyle w:val="Heading1"/>
        <w:rPr>
          <w:lang w:val="en-US"/>
        </w:rPr>
      </w:pPr>
      <w:bookmarkStart w:id="5" w:name="_Toc497227200"/>
      <w:bookmarkStart w:id="6" w:name="_Toc497227201"/>
      <w:bookmarkEnd w:id="5"/>
      <w:bookmarkEnd w:id="6"/>
      <w:r w:rsidRPr="00936C1E">
        <w:rPr>
          <w:lang w:val="en-US"/>
        </w:rPr>
        <w:t>Conclusion</w:t>
      </w:r>
    </w:p>
    <w:p w14:paraId="4A44109E" w14:textId="77777777" w:rsidR="00EF11A9" w:rsidRPr="005539B3" w:rsidRDefault="00DB6F44">
      <w:pPr>
        <w:pStyle w:val="TOC1"/>
        <w:rPr>
          <w:b w:val="0"/>
          <w:bCs/>
        </w:rPr>
      </w:pPr>
      <w:r w:rsidRPr="005539B3">
        <w:rPr>
          <w:b w:val="0"/>
          <w:bCs/>
        </w:rPr>
        <w:t>In section 2 we made the following observations:</w:t>
      </w:r>
    </w:p>
    <w:p w14:paraId="1ACF91EA" w14:textId="77777777" w:rsidR="005539B3" w:rsidRPr="005539B3" w:rsidRDefault="00DB6F44">
      <w:pPr>
        <w:pStyle w:val="TOC1"/>
        <w:rPr>
          <w:rFonts w:asciiTheme="minorHAnsi" w:eastAsiaTheme="minorEastAsia" w:hAnsiTheme="minorHAnsi" w:cstheme="minorBidi"/>
          <w:b w:val="0"/>
          <w:sz w:val="22"/>
        </w:rPr>
      </w:pPr>
      <w:r w:rsidRPr="0030769D">
        <w:rPr>
          <w:b w:val="0"/>
          <w:bCs/>
        </w:rPr>
        <w:fldChar w:fldCharType="begin"/>
      </w:r>
      <w:r w:rsidRPr="00936C1E">
        <w:rPr>
          <w:bCs/>
        </w:rPr>
        <w:instrText xml:space="preserve"> TOC \f \n \t "Observation;1" </w:instrText>
      </w:r>
      <w:r w:rsidRPr="0030769D">
        <w:rPr>
          <w:b w:val="0"/>
          <w:bCs/>
        </w:rPr>
        <w:fldChar w:fldCharType="separate"/>
      </w:r>
      <w:r w:rsidR="005539B3" w:rsidRPr="008F4FC3">
        <w:t>Observation 1</w:t>
      </w:r>
      <w:r w:rsidR="005539B3" w:rsidRPr="005539B3">
        <w:rPr>
          <w:rFonts w:asciiTheme="minorHAnsi" w:eastAsiaTheme="minorEastAsia" w:hAnsiTheme="minorHAnsi" w:cstheme="minorBidi"/>
          <w:b w:val="0"/>
          <w:sz w:val="22"/>
        </w:rPr>
        <w:tab/>
      </w:r>
      <w:r w:rsidR="005539B3" w:rsidRPr="008F4FC3">
        <w:rPr>
          <w:rFonts w:eastAsia="SimSun"/>
        </w:rPr>
        <w:t>The support of the serving cell index per CG requires a new PHR format which adds unnecessary design complexity for PHR design.</w:t>
      </w:r>
    </w:p>
    <w:p w14:paraId="2857879B" w14:textId="706982E5" w:rsidR="00DB6F44" w:rsidRPr="00936C1E" w:rsidRDefault="00DB6F44" w:rsidP="00DB6F44">
      <w:pPr>
        <w:pStyle w:val="BodyText"/>
        <w:rPr>
          <w:b/>
          <w:bCs/>
          <w:lang w:val="en-US"/>
        </w:rPr>
      </w:pPr>
      <w:r w:rsidRPr="0030769D">
        <w:rPr>
          <w:b/>
          <w:bCs/>
          <w:lang w:val="en-US"/>
        </w:rPr>
        <w:fldChar w:fldCharType="end"/>
      </w:r>
    </w:p>
    <w:p w14:paraId="40FA1CC0" w14:textId="77777777" w:rsidR="00DB6F44" w:rsidRDefault="00DB6F44" w:rsidP="00DB6F44">
      <w:pPr>
        <w:pStyle w:val="BodyText"/>
        <w:rPr>
          <w:lang w:val="en-US"/>
        </w:rPr>
      </w:pPr>
      <w:r w:rsidRPr="002664D6">
        <w:rPr>
          <w:lang w:val="en-US"/>
        </w:rPr>
        <w:t>Based on the discussion in section 2 we propose the following:</w:t>
      </w:r>
    </w:p>
    <w:p w14:paraId="1AFFBD8F" w14:textId="77777777" w:rsidR="005539B3" w:rsidRPr="005539B3" w:rsidRDefault="00DB6F44">
      <w:pPr>
        <w:pStyle w:val="TOC1"/>
        <w:rPr>
          <w:rFonts w:asciiTheme="minorHAnsi" w:eastAsiaTheme="minorEastAsia" w:hAnsiTheme="minorHAnsi" w:cstheme="minorBidi"/>
          <w:b w:val="0"/>
          <w:sz w:val="22"/>
        </w:rPr>
      </w:pPr>
      <w:r w:rsidRPr="002664D6">
        <w:rPr>
          <w:b w:val="0"/>
          <w:bCs/>
          <w:noProof w:val="0"/>
        </w:rPr>
        <w:fldChar w:fldCharType="begin"/>
      </w:r>
      <w:r w:rsidRPr="00936C1E">
        <w:rPr>
          <w:bCs/>
          <w:noProof w:val="0"/>
        </w:rPr>
        <w:instrText xml:space="preserve"> TOC \f \n \p " " \t "Proposal;1" </w:instrText>
      </w:r>
      <w:r w:rsidRPr="002664D6">
        <w:rPr>
          <w:b w:val="0"/>
          <w:bCs/>
          <w:noProof w:val="0"/>
        </w:rPr>
        <w:fldChar w:fldCharType="separate"/>
      </w:r>
      <w:r w:rsidR="005539B3" w:rsidRPr="00EA554A">
        <w:t>Proposal 1</w:t>
      </w:r>
      <w:r w:rsidR="005539B3" w:rsidRPr="005539B3">
        <w:rPr>
          <w:rFonts w:asciiTheme="minorHAnsi" w:eastAsiaTheme="minorEastAsia" w:hAnsiTheme="minorHAnsi" w:cstheme="minorBidi"/>
          <w:b w:val="0"/>
          <w:sz w:val="22"/>
        </w:rPr>
        <w:tab/>
      </w:r>
      <w:r w:rsidR="005539B3" w:rsidRPr="00EA554A">
        <w:rPr>
          <w:rFonts w:cs="Arial"/>
          <w:color w:val="000000" w:themeColor="text1"/>
        </w:rPr>
        <w:t>As in LTE-LTE DC, after transmission of a PHR comprising PHs for both MCG and SCG by any UE MAC entity upon reception of a grant, the UE only cancels all triggered PHRs and reset timers (prohibit and periodic timer) in the corresponding CG.</w:t>
      </w:r>
    </w:p>
    <w:p w14:paraId="6017DEA7" w14:textId="77777777" w:rsidR="005539B3" w:rsidRPr="005539B3" w:rsidRDefault="005539B3">
      <w:pPr>
        <w:pStyle w:val="TOC1"/>
        <w:rPr>
          <w:rFonts w:asciiTheme="minorHAnsi" w:eastAsiaTheme="minorEastAsia" w:hAnsiTheme="minorHAnsi" w:cstheme="minorBidi"/>
          <w:b w:val="0"/>
          <w:sz w:val="22"/>
        </w:rPr>
      </w:pPr>
      <w:r w:rsidRPr="00EA554A">
        <w:t>Proposal 2</w:t>
      </w:r>
      <w:r w:rsidRPr="005539B3">
        <w:rPr>
          <w:rFonts w:asciiTheme="minorHAnsi" w:eastAsiaTheme="minorEastAsia" w:hAnsiTheme="minorHAnsi" w:cstheme="minorBidi"/>
          <w:b w:val="0"/>
          <w:sz w:val="22"/>
        </w:rPr>
        <w:tab/>
      </w:r>
      <w:r w:rsidRPr="00EA554A">
        <w:rPr>
          <w:rFonts w:cs="Arial"/>
        </w:rPr>
        <w:t>As in LTE-LTE DC, the value range of the serving cell index for LTE-NR DC is defined across CGs, i.e., a common number space is defined per UE and used for MCG and SCG.</w:t>
      </w:r>
    </w:p>
    <w:p w14:paraId="51B4EE04" w14:textId="29F79AF0" w:rsidR="00DB6F44" w:rsidRPr="00936C1E" w:rsidRDefault="00DB6F44" w:rsidP="00DB6F44">
      <w:pPr>
        <w:rPr>
          <w:b/>
          <w:bCs/>
          <w:lang w:val="en-US"/>
        </w:rPr>
      </w:pPr>
      <w:r w:rsidRPr="002664D6">
        <w:rPr>
          <w:b/>
          <w:bCs/>
          <w:lang w:val="en-US"/>
        </w:rPr>
        <w:fldChar w:fldCharType="end"/>
      </w:r>
    </w:p>
    <w:sectPr w:rsidR="00DB6F44" w:rsidRPr="00936C1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92E56" w14:textId="77777777" w:rsidR="002D710F" w:rsidRDefault="002D710F">
      <w:r>
        <w:separator/>
      </w:r>
    </w:p>
  </w:endnote>
  <w:endnote w:type="continuationSeparator" w:id="0">
    <w:p w14:paraId="34A4483E" w14:textId="77777777" w:rsidR="002D710F" w:rsidRDefault="002D7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Arial Unicode MS"/>
    <w:panose1 w:val="02010600030101010101"/>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Light">
    <w:altName w:val="Microsoft YaHei"/>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8FCEA" w14:textId="64B584C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F449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F449C">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D26C8" w14:textId="77777777" w:rsidR="002D710F" w:rsidRDefault="002D710F">
      <w:r>
        <w:separator/>
      </w:r>
    </w:p>
  </w:footnote>
  <w:footnote w:type="continuationSeparator" w:id="0">
    <w:p w14:paraId="7C4B3C05" w14:textId="77777777" w:rsidR="002D710F" w:rsidRDefault="002D7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9E33F"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F56C43"/>
    <w:multiLevelType w:val="hybridMultilevel"/>
    <w:tmpl w:val="387E90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D6A1D"/>
    <w:multiLevelType w:val="hybridMultilevel"/>
    <w:tmpl w:val="E3DE6AC0"/>
    <w:lvl w:ilvl="0" w:tplc="BC8A75F0">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C4319"/>
    <w:multiLevelType w:val="hybridMultilevel"/>
    <w:tmpl w:val="6C6866B4"/>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8E2A98"/>
    <w:multiLevelType w:val="hybridMultilevel"/>
    <w:tmpl w:val="86E81B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171189"/>
    <w:multiLevelType w:val="hybridMultilevel"/>
    <w:tmpl w:val="CBE218E4"/>
    <w:lvl w:ilvl="0" w:tplc="C0368D34">
      <w:numFmt w:val="bullet"/>
      <w:lvlText w:val="-"/>
      <w:lvlJc w:val="left"/>
      <w:pPr>
        <w:ind w:left="720" w:hanging="360"/>
      </w:pPr>
      <w:rPr>
        <w:rFonts w:ascii="Arial" w:eastAsia="Times New Roman" w:hAnsi="Arial" w:cs="Aria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1170A6"/>
    <w:multiLevelType w:val="hybridMultilevel"/>
    <w:tmpl w:val="27B4AFFC"/>
    <w:lvl w:ilvl="0" w:tplc="6ACC8AFA">
      <w:start w:val="1"/>
      <w:numFmt w:val="decimal"/>
      <w:lvlText w:val="%1."/>
      <w:lvlJc w:val="left"/>
      <w:pPr>
        <w:ind w:left="1619" w:hanging="360"/>
      </w:pPr>
      <w:rPr>
        <w:rFonts w:cs="Times New Roman"/>
      </w:rPr>
    </w:lvl>
    <w:lvl w:ilvl="1" w:tplc="10090019">
      <w:start w:val="1"/>
      <w:numFmt w:val="lowerLetter"/>
      <w:lvlText w:val="%2."/>
      <w:lvlJc w:val="left"/>
      <w:pPr>
        <w:ind w:left="2339" w:hanging="360"/>
      </w:pPr>
      <w:rPr>
        <w:rFonts w:cs="Times New Roman"/>
      </w:rPr>
    </w:lvl>
    <w:lvl w:ilvl="2" w:tplc="1009001B">
      <w:start w:val="1"/>
      <w:numFmt w:val="lowerRoman"/>
      <w:lvlText w:val="%3."/>
      <w:lvlJc w:val="right"/>
      <w:pPr>
        <w:ind w:left="3059" w:hanging="180"/>
      </w:pPr>
      <w:rPr>
        <w:rFonts w:cs="Times New Roman"/>
      </w:rPr>
    </w:lvl>
    <w:lvl w:ilvl="3" w:tplc="1009000F">
      <w:start w:val="1"/>
      <w:numFmt w:val="decimal"/>
      <w:lvlText w:val="%4."/>
      <w:lvlJc w:val="left"/>
      <w:pPr>
        <w:ind w:left="3779" w:hanging="360"/>
      </w:pPr>
      <w:rPr>
        <w:rFonts w:cs="Times New Roman"/>
      </w:rPr>
    </w:lvl>
    <w:lvl w:ilvl="4" w:tplc="10090019">
      <w:start w:val="1"/>
      <w:numFmt w:val="lowerLetter"/>
      <w:lvlText w:val="%5."/>
      <w:lvlJc w:val="left"/>
      <w:pPr>
        <w:ind w:left="4499" w:hanging="360"/>
      </w:pPr>
      <w:rPr>
        <w:rFonts w:cs="Times New Roman"/>
      </w:rPr>
    </w:lvl>
    <w:lvl w:ilvl="5" w:tplc="1009001B">
      <w:start w:val="1"/>
      <w:numFmt w:val="lowerRoman"/>
      <w:lvlText w:val="%6."/>
      <w:lvlJc w:val="right"/>
      <w:pPr>
        <w:ind w:left="5219" w:hanging="180"/>
      </w:pPr>
      <w:rPr>
        <w:rFonts w:cs="Times New Roman"/>
      </w:rPr>
    </w:lvl>
    <w:lvl w:ilvl="6" w:tplc="1009000F">
      <w:start w:val="1"/>
      <w:numFmt w:val="decimal"/>
      <w:lvlText w:val="%7."/>
      <w:lvlJc w:val="left"/>
      <w:pPr>
        <w:ind w:left="5939" w:hanging="360"/>
      </w:pPr>
      <w:rPr>
        <w:rFonts w:cs="Times New Roman"/>
      </w:rPr>
    </w:lvl>
    <w:lvl w:ilvl="7" w:tplc="10090019">
      <w:start w:val="1"/>
      <w:numFmt w:val="lowerLetter"/>
      <w:lvlText w:val="%8."/>
      <w:lvlJc w:val="left"/>
      <w:pPr>
        <w:ind w:left="6659" w:hanging="360"/>
      </w:pPr>
      <w:rPr>
        <w:rFonts w:cs="Times New Roman"/>
      </w:rPr>
    </w:lvl>
    <w:lvl w:ilvl="8" w:tplc="1009001B">
      <w:start w:val="1"/>
      <w:numFmt w:val="lowerRoman"/>
      <w:lvlText w:val="%9."/>
      <w:lvlJc w:val="right"/>
      <w:pPr>
        <w:ind w:left="7379" w:hanging="180"/>
      </w:pPr>
      <w:rPr>
        <w:rFonts w:cs="Times New Roman"/>
      </w:rPr>
    </w:lvl>
  </w:abstractNum>
  <w:abstractNum w:abstractNumId="17" w15:restartNumberingAfterBreak="0">
    <w:nsid w:val="4B177715"/>
    <w:multiLevelType w:val="hybridMultilevel"/>
    <w:tmpl w:val="4330FA9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144D13"/>
    <w:multiLevelType w:val="multilevel"/>
    <w:tmpl w:val="1A70A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F46D98"/>
    <w:multiLevelType w:val="hybridMultilevel"/>
    <w:tmpl w:val="781E7C96"/>
    <w:lvl w:ilvl="0" w:tplc="041D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AF1A4F"/>
    <w:multiLevelType w:val="hybridMultilevel"/>
    <w:tmpl w:val="82FEC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7"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F2743C5"/>
    <w:multiLevelType w:val="hybridMultilevel"/>
    <w:tmpl w:val="472CC38C"/>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start w:val="1"/>
      <w:numFmt w:val="bullet"/>
      <w:lvlText w:val=""/>
      <w:lvlJc w:val="left"/>
      <w:pPr>
        <w:ind w:left="2946" w:hanging="360"/>
      </w:pPr>
      <w:rPr>
        <w:rFonts w:ascii="Symbol" w:hAnsi="Symbol" w:hint="default"/>
      </w:rPr>
    </w:lvl>
    <w:lvl w:ilvl="4" w:tplc="08090003">
      <w:start w:val="1"/>
      <w:numFmt w:val="bullet"/>
      <w:lvlText w:val="o"/>
      <w:lvlJc w:val="left"/>
      <w:pPr>
        <w:ind w:left="3666" w:hanging="360"/>
      </w:pPr>
      <w:rPr>
        <w:rFonts w:ascii="Courier New" w:hAnsi="Courier New" w:cs="Courier New" w:hint="default"/>
      </w:rPr>
    </w:lvl>
    <w:lvl w:ilvl="5" w:tplc="08090005">
      <w:start w:val="1"/>
      <w:numFmt w:val="bullet"/>
      <w:lvlText w:val=""/>
      <w:lvlJc w:val="left"/>
      <w:pPr>
        <w:ind w:left="4386" w:hanging="360"/>
      </w:pPr>
      <w:rPr>
        <w:rFonts w:ascii="Wingdings" w:hAnsi="Wingdings" w:hint="default"/>
      </w:rPr>
    </w:lvl>
    <w:lvl w:ilvl="6" w:tplc="08090001">
      <w:start w:val="1"/>
      <w:numFmt w:val="bullet"/>
      <w:lvlText w:val=""/>
      <w:lvlJc w:val="left"/>
      <w:pPr>
        <w:ind w:left="5106" w:hanging="360"/>
      </w:pPr>
      <w:rPr>
        <w:rFonts w:ascii="Symbol" w:hAnsi="Symbol" w:hint="default"/>
      </w:rPr>
    </w:lvl>
    <w:lvl w:ilvl="7" w:tplc="08090003">
      <w:start w:val="1"/>
      <w:numFmt w:val="bullet"/>
      <w:lvlText w:val="o"/>
      <w:lvlJc w:val="left"/>
      <w:pPr>
        <w:ind w:left="5826" w:hanging="360"/>
      </w:pPr>
      <w:rPr>
        <w:rFonts w:ascii="Courier New" w:hAnsi="Courier New" w:cs="Courier New" w:hint="default"/>
      </w:rPr>
    </w:lvl>
    <w:lvl w:ilvl="8" w:tplc="08090005">
      <w:start w:val="1"/>
      <w:numFmt w:val="bullet"/>
      <w:lvlText w:val=""/>
      <w:lvlJc w:val="left"/>
      <w:pPr>
        <w:ind w:left="6546" w:hanging="360"/>
      </w:pPr>
      <w:rPr>
        <w:rFonts w:ascii="Wingdings" w:hAnsi="Wingdings" w:hint="default"/>
      </w:rPr>
    </w:lvl>
  </w:abstractNum>
  <w:num w:numId="1">
    <w:abstractNumId w:val="4"/>
  </w:num>
  <w:num w:numId="2">
    <w:abstractNumId w:val="18"/>
  </w:num>
  <w:num w:numId="3">
    <w:abstractNumId w:val="12"/>
  </w:num>
  <w:num w:numId="4">
    <w:abstractNumId w:val="13"/>
  </w:num>
  <w:num w:numId="5">
    <w:abstractNumId w:val="10"/>
  </w:num>
  <w:num w:numId="6">
    <w:abstractNumId w:val="15"/>
  </w:num>
  <w:num w:numId="7">
    <w:abstractNumId w:val="21"/>
  </w:num>
  <w:num w:numId="8">
    <w:abstractNumId w:val="11"/>
  </w:num>
  <w:num w:numId="9">
    <w:abstractNumId w:val="9"/>
  </w:num>
  <w:num w:numId="10">
    <w:abstractNumId w:val="3"/>
  </w:num>
  <w:num w:numId="11">
    <w:abstractNumId w:val="2"/>
  </w:num>
  <w:num w:numId="12">
    <w:abstractNumId w:val="1"/>
  </w:num>
  <w:num w:numId="13">
    <w:abstractNumId w:val="20"/>
  </w:num>
  <w:num w:numId="14">
    <w:abstractNumId w:val="0"/>
  </w:num>
  <w:num w:numId="15">
    <w:abstractNumId w:val="25"/>
  </w:num>
  <w:num w:numId="16">
    <w:abstractNumId w:val="7"/>
  </w:num>
  <w:num w:numId="17">
    <w:abstractNumId w:val="14"/>
  </w:num>
  <w:num w:numId="18">
    <w:abstractNumId w:val="6"/>
  </w:num>
  <w:num w:numId="19">
    <w:abstractNumId w:val="26"/>
  </w:num>
  <w:num w:numId="20">
    <w:abstractNumId w:val="8"/>
  </w:num>
  <w:num w:numId="21">
    <w:abstractNumId w:val="17"/>
  </w:num>
  <w:num w:numId="22">
    <w:abstractNumId w:val="19"/>
  </w:num>
  <w:num w:numId="23">
    <w:abstractNumId w:val="28"/>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24"/>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C25"/>
    <w:rsid w:val="000006E1"/>
    <w:rsid w:val="00002A37"/>
    <w:rsid w:val="00002BBF"/>
    <w:rsid w:val="000039F4"/>
    <w:rsid w:val="00006446"/>
    <w:rsid w:val="00006896"/>
    <w:rsid w:val="00007CDC"/>
    <w:rsid w:val="00011B28"/>
    <w:rsid w:val="00015D15"/>
    <w:rsid w:val="00020607"/>
    <w:rsid w:val="0002564D"/>
    <w:rsid w:val="00025ECA"/>
    <w:rsid w:val="000278A4"/>
    <w:rsid w:val="000316B0"/>
    <w:rsid w:val="000325B8"/>
    <w:rsid w:val="00034C15"/>
    <w:rsid w:val="00036BA1"/>
    <w:rsid w:val="00040957"/>
    <w:rsid w:val="00040D57"/>
    <w:rsid w:val="000422E2"/>
    <w:rsid w:val="00042F22"/>
    <w:rsid w:val="000444EF"/>
    <w:rsid w:val="00052101"/>
    <w:rsid w:val="00052A07"/>
    <w:rsid w:val="000534E3"/>
    <w:rsid w:val="0005606A"/>
    <w:rsid w:val="00057117"/>
    <w:rsid w:val="00060BD7"/>
    <w:rsid w:val="000616E7"/>
    <w:rsid w:val="0006487E"/>
    <w:rsid w:val="00065E1A"/>
    <w:rsid w:val="00077E5F"/>
    <w:rsid w:val="0008036A"/>
    <w:rsid w:val="00081AE6"/>
    <w:rsid w:val="000855EB"/>
    <w:rsid w:val="00085B52"/>
    <w:rsid w:val="000866F2"/>
    <w:rsid w:val="0009009F"/>
    <w:rsid w:val="00091557"/>
    <w:rsid w:val="00091597"/>
    <w:rsid w:val="000924C1"/>
    <w:rsid w:val="000924F0"/>
    <w:rsid w:val="00093474"/>
    <w:rsid w:val="0009510F"/>
    <w:rsid w:val="000A1B7B"/>
    <w:rsid w:val="000A302D"/>
    <w:rsid w:val="000A4A38"/>
    <w:rsid w:val="000A56F2"/>
    <w:rsid w:val="000B2719"/>
    <w:rsid w:val="000B3A8F"/>
    <w:rsid w:val="000B4AB9"/>
    <w:rsid w:val="000B54AB"/>
    <w:rsid w:val="000B58C3"/>
    <w:rsid w:val="000B61E9"/>
    <w:rsid w:val="000C165A"/>
    <w:rsid w:val="000C2E19"/>
    <w:rsid w:val="000C4BEE"/>
    <w:rsid w:val="000D0D07"/>
    <w:rsid w:val="000D3105"/>
    <w:rsid w:val="000D4797"/>
    <w:rsid w:val="000E0527"/>
    <w:rsid w:val="000E1E92"/>
    <w:rsid w:val="000F06D6"/>
    <w:rsid w:val="000F0EB1"/>
    <w:rsid w:val="000F1106"/>
    <w:rsid w:val="000F3BE9"/>
    <w:rsid w:val="000F3F6C"/>
    <w:rsid w:val="000F6DF3"/>
    <w:rsid w:val="001005FF"/>
    <w:rsid w:val="00103565"/>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649"/>
    <w:rsid w:val="00137AB5"/>
    <w:rsid w:val="00137F0B"/>
    <w:rsid w:val="00151E23"/>
    <w:rsid w:val="001526E0"/>
    <w:rsid w:val="001551B5"/>
    <w:rsid w:val="001659C1"/>
    <w:rsid w:val="00173A8E"/>
    <w:rsid w:val="00177795"/>
    <w:rsid w:val="0018143F"/>
    <w:rsid w:val="00190AC1"/>
    <w:rsid w:val="00192AEB"/>
    <w:rsid w:val="0019341A"/>
    <w:rsid w:val="001946CC"/>
    <w:rsid w:val="001948BC"/>
    <w:rsid w:val="00197DF9"/>
    <w:rsid w:val="001A1987"/>
    <w:rsid w:val="001A2564"/>
    <w:rsid w:val="001A6173"/>
    <w:rsid w:val="001A6592"/>
    <w:rsid w:val="001A6A9A"/>
    <w:rsid w:val="001A6CBA"/>
    <w:rsid w:val="001B0D97"/>
    <w:rsid w:val="001B5A5D"/>
    <w:rsid w:val="001C1CE5"/>
    <w:rsid w:val="001C3534"/>
    <w:rsid w:val="001C3D2A"/>
    <w:rsid w:val="001C6EFB"/>
    <w:rsid w:val="001D51BA"/>
    <w:rsid w:val="001D6342"/>
    <w:rsid w:val="001D6D53"/>
    <w:rsid w:val="001E58E2"/>
    <w:rsid w:val="001E7AED"/>
    <w:rsid w:val="001F3916"/>
    <w:rsid w:val="001F54C5"/>
    <w:rsid w:val="001F662C"/>
    <w:rsid w:val="001F7074"/>
    <w:rsid w:val="00200490"/>
    <w:rsid w:val="00201F3A"/>
    <w:rsid w:val="00203F96"/>
    <w:rsid w:val="002069B2"/>
    <w:rsid w:val="002070B1"/>
    <w:rsid w:val="00207FA3"/>
    <w:rsid w:val="00214DA8"/>
    <w:rsid w:val="00215423"/>
    <w:rsid w:val="002158FA"/>
    <w:rsid w:val="00220600"/>
    <w:rsid w:val="002224DB"/>
    <w:rsid w:val="00223FCB"/>
    <w:rsid w:val="002252C3"/>
    <w:rsid w:val="00225C54"/>
    <w:rsid w:val="00227066"/>
    <w:rsid w:val="00230765"/>
    <w:rsid w:val="002319E4"/>
    <w:rsid w:val="00235632"/>
    <w:rsid w:val="00235872"/>
    <w:rsid w:val="00240C2A"/>
    <w:rsid w:val="00241559"/>
    <w:rsid w:val="002435B3"/>
    <w:rsid w:val="002458EB"/>
    <w:rsid w:val="002500C8"/>
    <w:rsid w:val="00255F24"/>
    <w:rsid w:val="00256492"/>
    <w:rsid w:val="00257543"/>
    <w:rsid w:val="00257ECC"/>
    <w:rsid w:val="002617E7"/>
    <w:rsid w:val="00261BFC"/>
    <w:rsid w:val="00264228"/>
    <w:rsid w:val="00264334"/>
    <w:rsid w:val="0026473E"/>
    <w:rsid w:val="00264FD0"/>
    <w:rsid w:val="00266214"/>
    <w:rsid w:val="00266A09"/>
    <w:rsid w:val="00267C83"/>
    <w:rsid w:val="0027144F"/>
    <w:rsid w:val="00271F3A"/>
    <w:rsid w:val="00273278"/>
    <w:rsid w:val="002737F4"/>
    <w:rsid w:val="002805F5"/>
    <w:rsid w:val="00280751"/>
    <w:rsid w:val="0028280A"/>
    <w:rsid w:val="0028445D"/>
    <w:rsid w:val="00286ACD"/>
    <w:rsid w:val="002875D6"/>
    <w:rsid w:val="00287838"/>
    <w:rsid w:val="00287B1C"/>
    <w:rsid w:val="002907B5"/>
    <w:rsid w:val="002923D8"/>
    <w:rsid w:val="00292EB7"/>
    <w:rsid w:val="00296227"/>
    <w:rsid w:val="00296F44"/>
    <w:rsid w:val="0029777D"/>
    <w:rsid w:val="002A055E"/>
    <w:rsid w:val="002A1D4E"/>
    <w:rsid w:val="002A2869"/>
    <w:rsid w:val="002B24D6"/>
    <w:rsid w:val="002B76F7"/>
    <w:rsid w:val="002C2C27"/>
    <w:rsid w:val="002C41E6"/>
    <w:rsid w:val="002C78E2"/>
    <w:rsid w:val="002D071A"/>
    <w:rsid w:val="002D2187"/>
    <w:rsid w:val="002D34B2"/>
    <w:rsid w:val="002D710F"/>
    <w:rsid w:val="002D7637"/>
    <w:rsid w:val="002E17F2"/>
    <w:rsid w:val="002E27F6"/>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5D0"/>
    <w:rsid w:val="00343A07"/>
    <w:rsid w:val="00346DB5"/>
    <w:rsid w:val="003477B1"/>
    <w:rsid w:val="003477F9"/>
    <w:rsid w:val="003510DD"/>
    <w:rsid w:val="0035491B"/>
    <w:rsid w:val="00357380"/>
    <w:rsid w:val="003602D9"/>
    <w:rsid w:val="003604CE"/>
    <w:rsid w:val="00370E47"/>
    <w:rsid w:val="003742AC"/>
    <w:rsid w:val="00377CE1"/>
    <w:rsid w:val="00385BF0"/>
    <w:rsid w:val="003939FF"/>
    <w:rsid w:val="00394E38"/>
    <w:rsid w:val="003961D5"/>
    <w:rsid w:val="003968C6"/>
    <w:rsid w:val="00396920"/>
    <w:rsid w:val="00397394"/>
    <w:rsid w:val="00397E1B"/>
    <w:rsid w:val="003A2223"/>
    <w:rsid w:val="003A2A0F"/>
    <w:rsid w:val="003A45A1"/>
    <w:rsid w:val="003A5B0A"/>
    <w:rsid w:val="003A6BAC"/>
    <w:rsid w:val="003A7EF3"/>
    <w:rsid w:val="003B159C"/>
    <w:rsid w:val="003B369F"/>
    <w:rsid w:val="003B36A3"/>
    <w:rsid w:val="003B460B"/>
    <w:rsid w:val="003B7FE5"/>
    <w:rsid w:val="003C11C8"/>
    <w:rsid w:val="003C20B5"/>
    <w:rsid w:val="003C2702"/>
    <w:rsid w:val="003C7806"/>
    <w:rsid w:val="003C7A52"/>
    <w:rsid w:val="003D109F"/>
    <w:rsid w:val="003D2478"/>
    <w:rsid w:val="003D3C45"/>
    <w:rsid w:val="003D5B1F"/>
    <w:rsid w:val="003E15FA"/>
    <w:rsid w:val="003E55E4"/>
    <w:rsid w:val="003E74E3"/>
    <w:rsid w:val="003F05C7"/>
    <w:rsid w:val="003F2CD4"/>
    <w:rsid w:val="003F5706"/>
    <w:rsid w:val="003F6BBE"/>
    <w:rsid w:val="004000E8"/>
    <w:rsid w:val="004003E3"/>
    <w:rsid w:val="0040152C"/>
    <w:rsid w:val="00402E2B"/>
    <w:rsid w:val="0040512B"/>
    <w:rsid w:val="00405CA5"/>
    <w:rsid w:val="00407CD3"/>
    <w:rsid w:val="00410134"/>
    <w:rsid w:val="00410B72"/>
    <w:rsid w:val="00410F18"/>
    <w:rsid w:val="0041263E"/>
    <w:rsid w:val="00413AAC"/>
    <w:rsid w:val="00421105"/>
    <w:rsid w:val="004242F4"/>
    <w:rsid w:val="00424B74"/>
    <w:rsid w:val="00427248"/>
    <w:rsid w:val="00433F14"/>
    <w:rsid w:val="00437447"/>
    <w:rsid w:val="00441A92"/>
    <w:rsid w:val="00444F56"/>
    <w:rsid w:val="00446488"/>
    <w:rsid w:val="004517AA"/>
    <w:rsid w:val="00452793"/>
    <w:rsid w:val="00452CAC"/>
    <w:rsid w:val="00455E32"/>
    <w:rsid w:val="00457565"/>
    <w:rsid w:val="00457B71"/>
    <w:rsid w:val="004626FF"/>
    <w:rsid w:val="004669E2"/>
    <w:rsid w:val="00470C31"/>
    <w:rsid w:val="004734D0"/>
    <w:rsid w:val="0047556B"/>
    <w:rsid w:val="00477768"/>
    <w:rsid w:val="00482AE6"/>
    <w:rsid w:val="00492BC5"/>
    <w:rsid w:val="004964F1"/>
    <w:rsid w:val="00496D1C"/>
    <w:rsid w:val="00497510"/>
    <w:rsid w:val="004A16BC"/>
    <w:rsid w:val="004A24E9"/>
    <w:rsid w:val="004A2B94"/>
    <w:rsid w:val="004B7A5C"/>
    <w:rsid w:val="004B7C0C"/>
    <w:rsid w:val="004C1368"/>
    <w:rsid w:val="004C2DB9"/>
    <w:rsid w:val="004C3898"/>
    <w:rsid w:val="004D2704"/>
    <w:rsid w:val="004D36B1"/>
    <w:rsid w:val="004D7EBD"/>
    <w:rsid w:val="004E2680"/>
    <w:rsid w:val="004E28F9"/>
    <w:rsid w:val="004E462E"/>
    <w:rsid w:val="004E56DC"/>
    <w:rsid w:val="004E76F4"/>
    <w:rsid w:val="004F0B4E"/>
    <w:rsid w:val="004F0B6C"/>
    <w:rsid w:val="004F2078"/>
    <w:rsid w:val="004F2941"/>
    <w:rsid w:val="004F4DA3"/>
    <w:rsid w:val="00503494"/>
    <w:rsid w:val="00506557"/>
    <w:rsid w:val="0050677A"/>
    <w:rsid w:val="005108D8"/>
    <w:rsid w:val="005116F9"/>
    <w:rsid w:val="005153A7"/>
    <w:rsid w:val="005219CF"/>
    <w:rsid w:val="00533251"/>
    <w:rsid w:val="00533C01"/>
    <w:rsid w:val="00534B59"/>
    <w:rsid w:val="00536759"/>
    <w:rsid w:val="00537C62"/>
    <w:rsid w:val="00546970"/>
    <w:rsid w:val="005539B3"/>
    <w:rsid w:val="00554E19"/>
    <w:rsid w:val="00557C00"/>
    <w:rsid w:val="0056121F"/>
    <w:rsid w:val="005663FA"/>
    <w:rsid w:val="00572505"/>
    <w:rsid w:val="00582809"/>
    <w:rsid w:val="00584627"/>
    <w:rsid w:val="0058798C"/>
    <w:rsid w:val="005900FA"/>
    <w:rsid w:val="005935A4"/>
    <w:rsid w:val="005948C2"/>
    <w:rsid w:val="00595DCA"/>
    <w:rsid w:val="0059779B"/>
    <w:rsid w:val="005A209A"/>
    <w:rsid w:val="005A2D40"/>
    <w:rsid w:val="005A662D"/>
    <w:rsid w:val="005B0236"/>
    <w:rsid w:val="005B35D7"/>
    <w:rsid w:val="005B392A"/>
    <w:rsid w:val="005B3AA3"/>
    <w:rsid w:val="005B591A"/>
    <w:rsid w:val="005B6F83"/>
    <w:rsid w:val="005C0E35"/>
    <w:rsid w:val="005C3A0C"/>
    <w:rsid w:val="005C74FB"/>
    <w:rsid w:val="005D1602"/>
    <w:rsid w:val="005D71D3"/>
    <w:rsid w:val="005E385F"/>
    <w:rsid w:val="005E5B81"/>
    <w:rsid w:val="005F02B5"/>
    <w:rsid w:val="005F174B"/>
    <w:rsid w:val="005F2CB1"/>
    <w:rsid w:val="005F3025"/>
    <w:rsid w:val="005F618C"/>
    <w:rsid w:val="005F70BD"/>
    <w:rsid w:val="0060283C"/>
    <w:rsid w:val="006045C2"/>
    <w:rsid w:val="00604F14"/>
    <w:rsid w:val="00611B83"/>
    <w:rsid w:val="00613257"/>
    <w:rsid w:val="00620A71"/>
    <w:rsid w:val="00620D80"/>
    <w:rsid w:val="006234A6"/>
    <w:rsid w:val="006255E8"/>
    <w:rsid w:val="00630001"/>
    <w:rsid w:val="006311B3"/>
    <w:rsid w:val="00631CA0"/>
    <w:rsid w:val="0063206D"/>
    <w:rsid w:val="0063284C"/>
    <w:rsid w:val="00636398"/>
    <w:rsid w:val="006368D3"/>
    <w:rsid w:val="006377EC"/>
    <w:rsid w:val="0064151F"/>
    <w:rsid w:val="00641533"/>
    <w:rsid w:val="0064208D"/>
    <w:rsid w:val="00643475"/>
    <w:rsid w:val="0064396A"/>
    <w:rsid w:val="0064624E"/>
    <w:rsid w:val="00650AB9"/>
    <w:rsid w:val="00655733"/>
    <w:rsid w:val="00655ACD"/>
    <w:rsid w:val="006562B0"/>
    <w:rsid w:val="00656A92"/>
    <w:rsid w:val="00656DDE"/>
    <w:rsid w:val="0066011D"/>
    <w:rsid w:val="006607C0"/>
    <w:rsid w:val="006613A6"/>
    <w:rsid w:val="006627A2"/>
    <w:rsid w:val="006634E6"/>
    <w:rsid w:val="006655EE"/>
    <w:rsid w:val="00667EE7"/>
    <w:rsid w:val="00670922"/>
    <w:rsid w:val="00670BE1"/>
    <w:rsid w:val="00671406"/>
    <w:rsid w:val="0067218F"/>
    <w:rsid w:val="006741F2"/>
    <w:rsid w:val="00674CC3"/>
    <w:rsid w:val="00675C72"/>
    <w:rsid w:val="006771F9"/>
    <w:rsid w:val="006776D7"/>
    <w:rsid w:val="00681003"/>
    <w:rsid w:val="006817C9"/>
    <w:rsid w:val="00683ECE"/>
    <w:rsid w:val="006841E4"/>
    <w:rsid w:val="00691CAF"/>
    <w:rsid w:val="00695FC2"/>
    <w:rsid w:val="00696949"/>
    <w:rsid w:val="00697052"/>
    <w:rsid w:val="006A30EB"/>
    <w:rsid w:val="006A46FB"/>
    <w:rsid w:val="006A5E28"/>
    <w:rsid w:val="006A697B"/>
    <w:rsid w:val="006A7AFF"/>
    <w:rsid w:val="006B1816"/>
    <w:rsid w:val="006B1FCF"/>
    <w:rsid w:val="006B2099"/>
    <w:rsid w:val="006B50CF"/>
    <w:rsid w:val="006C03B8"/>
    <w:rsid w:val="006C2C2F"/>
    <w:rsid w:val="006C5EC9"/>
    <w:rsid w:val="006C6059"/>
    <w:rsid w:val="006C7522"/>
    <w:rsid w:val="006D1F32"/>
    <w:rsid w:val="006D2FD5"/>
    <w:rsid w:val="006D6F08"/>
    <w:rsid w:val="006E062C"/>
    <w:rsid w:val="006E08B2"/>
    <w:rsid w:val="006E28B7"/>
    <w:rsid w:val="006E3310"/>
    <w:rsid w:val="006E4E39"/>
    <w:rsid w:val="006E565E"/>
    <w:rsid w:val="006E673D"/>
    <w:rsid w:val="006E7D3B"/>
    <w:rsid w:val="006F1B70"/>
    <w:rsid w:val="006F2D23"/>
    <w:rsid w:val="006F341D"/>
    <w:rsid w:val="006F3CDE"/>
    <w:rsid w:val="006F58D4"/>
    <w:rsid w:val="0070346E"/>
    <w:rsid w:val="00704EDB"/>
    <w:rsid w:val="00706101"/>
    <w:rsid w:val="00707072"/>
    <w:rsid w:val="00707D61"/>
    <w:rsid w:val="007110F9"/>
    <w:rsid w:val="00712287"/>
    <w:rsid w:val="00712772"/>
    <w:rsid w:val="007148D3"/>
    <w:rsid w:val="00715B9A"/>
    <w:rsid w:val="00717ECF"/>
    <w:rsid w:val="00725398"/>
    <w:rsid w:val="00726EA6"/>
    <w:rsid w:val="00727208"/>
    <w:rsid w:val="00727680"/>
    <w:rsid w:val="0073069E"/>
    <w:rsid w:val="007348B1"/>
    <w:rsid w:val="007362A6"/>
    <w:rsid w:val="00736853"/>
    <w:rsid w:val="00736D7D"/>
    <w:rsid w:val="00740E58"/>
    <w:rsid w:val="007445A0"/>
    <w:rsid w:val="0074524B"/>
    <w:rsid w:val="00747D8B"/>
    <w:rsid w:val="00751228"/>
    <w:rsid w:val="007571E1"/>
    <w:rsid w:val="007604B2"/>
    <w:rsid w:val="00765281"/>
    <w:rsid w:val="00766BAD"/>
    <w:rsid w:val="0076771F"/>
    <w:rsid w:val="007730BD"/>
    <w:rsid w:val="007748BE"/>
    <w:rsid w:val="007755F2"/>
    <w:rsid w:val="00776971"/>
    <w:rsid w:val="0077765D"/>
    <w:rsid w:val="0078177E"/>
    <w:rsid w:val="0078304C"/>
    <w:rsid w:val="00783673"/>
    <w:rsid w:val="00785490"/>
    <w:rsid w:val="00786BCE"/>
    <w:rsid w:val="007925EA"/>
    <w:rsid w:val="0079353C"/>
    <w:rsid w:val="00793CD8"/>
    <w:rsid w:val="00795C92"/>
    <w:rsid w:val="00796231"/>
    <w:rsid w:val="007A05A2"/>
    <w:rsid w:val="007A1CB3"/>
    <w:rsid w:val="007A306F"/>
    <w:rsid w:val="007A43A6"/>
    <w:rsid w:val="007A512C"/>
    <w:rsid w:val="007A58A6"/>
    <w:rsid w:val="007B3D2D"/>
    <w:rsid w:val="007B50AE"/>
    <w:rsid w:val="007B51DF"/>
    <w:rsid w:val="007C05DD"/>
    <w:rsid w:val="007C2BCF"/>
    <w:rsid w:val="007C3D18"/>
    <w:rsid w:val="007C5986"/>
    <w:rsid w:val="007C60BF"/>
    <w:rsid w:val="007C616E"/>
    <w:rsid w:val="007C6A07"/>
    <w:rsid w:val="007C75A1"/>
    <w:rsid w:val="007C77A5"/>
    <w:rsid w:val="007D04E5"/>
    <w:rsid w:val="007D5901"/>
    <w:rsid w:val="007D6921"/>
    <w:rsid w:val="007D7526"/>
    <w:rsid w:val="007E4610"/>
    <w:rsid w:val="007E4715"/>
    <w:rsid w:val="007E505B"/>
    <w:rsid w:val="007E7091"/>
    <w:rsid w:val="007F04AC"/>
    <w:rsid w:val="007F6B42"/>
    <w:rsid w:val="00803FAE"/>
    <w:rsid w:val="0080605F"/>
    <w:rsid w:val="0080640D"/>
    <w:rsid w:val="00807786"/>
    <w:rsid w:val="00807E28"/>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028"/>
    <w:rsid w:val="00874312"/>
    <w:rsid w:val="0087437C"/>
    <w:rsid w:val="00875CD7"/>
    <w:rsid w:val="00876B4D"/>
    <w:rsid w:val="00877F18"/>
    <w:rsid w:val="00894A88"/>
    <w:rsid w:val="00895386"/>
    <w:rsid w:val="008A05E0"/>
    <w:rsid w:val="008A21FF"/>
    <w:rsid w:val="008A2CE2"/>
    <w:rsid w:val="008A30AC"/>
    <w:rsid w:val="008A44B8"/>
    <w:rsid w:val="008A51A8"/>
    <w:rsid w:val="008A54C7"/>
    <w:rsid w:val="008A77D8"/>
    <w:rsid w:val="008B0483"/>
    <w:rsid w:val="008B120C"/>
    <w:rsid w:val="008B39C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2FC6"/>
    <w:rsid w:val="008F33DC"/>
    <w:rsid w:val="008F477F"/>
    <w:rsid w:val="008F4B4E"/>
    <w:rsid w:val="00902350"/>
    <w:rsid w:val="0090336B"/>
    <w:rsid w:val="009053AA"/>
    <w:rsid w:val="00906939"/>
    <w:rsid w:val="00910B7D"/>
    <w:rsid w:val="00911DFB"/>
    <w:rsid w:val="009139D9"/>
    <w:rsid w:val="00914AD8"/>
    <w:rsid w:val="00914DB8"/>
    <w:rsid w:val="00916079"/>
    <w:rsid w:val="00917CE9"/>
    <w:rsid w:val="00920BF2"/>
    <w:rsid w:val="00922010"/>
    <w:rsid w:val="00925EAF"/>
    <w:rsid w:val="00931BD9"/>
    <w:rsid w:val="00932CC9"/>
    <w:rsid w:val="009368F3"/>
    <w:rsid w:val="00941636"/>
    <w:rsid w:val="00943742"/>
    <w:rsid w:val="00945C05"/>
    <w:rsid w:val="00946945"/>
    <w:rsid w:val="00947713"/>
    <w:rsid w:val="00950DE7"/>
    <w:rsid w:val="00951636"/>
    <w:rsid w:val="00953920"/>
    <w:rsid w:val="00953D47"/>
    <w:rsid w:val="00954C2D"/>
    <w:rsid w:val="0095681E"/>
    <w:rsid w:val="009572D4"/>
    <w:rsid w:val="00961921"/>
    <w:rsid w:val="0096430A"/>
    <w:rsid w:val="0096554B"/>
    <w:rsid w:val="0096584A"/>
    <w:rsid w:val="009674F3"/>
    <w:rsid w:val="00971F08"/>
    <w:rsid w:val="0097603D"/>
    <w:rsid w:val="00976949"/>
    <w:rsid w:val="00980477"/>
    <w:rsid w:val="00981356"/>
    <w:rsid w:val="00985253"/>
    <w:rsid w:val="009853B3"/>
    <w:rsid w:val="00990630"/>
    <w:rsid w:val="00991761"/>
    <w:rsid w:val="00994DCA"/>
    <w:rsid w:val="009960EC"/>
    <w:rsid w:val="009970DD"/>
    <w:rsid w:val="009A0FBA"/>
    <w:rsid w:val="009A1601"/>
    <w:rsid w:val="009A462D"/>
    <w:rsid w:val="009A5CBA"/>
    <w:rsid w:val="009B1F30"/>
    <w:rsid w:val="009B2947"/>
    <w:rsid w:val="009B3AC2"/>
    <w:rsid w:val="009B4DF4"/>
    <w:rsid w:val="009B564E"/>
    <w:rsid w:val="009B7E87"/>
    <w:rsid w:val="009C403E"/>
    <w:rsid w:val="009C5995"/>
    <w:rsid w:val="009D4FF0"/>
    <w:rsid w:val="009D699D"/>
    <w:rsid w:val="009D703C"/>
    <w:rsid w:val="009D718F"/>
    <w:rsid w:val="009E068F"/>
    <w:rsid w:val="009E0FE9"/>
    <w:rsid w:val="009E14E0"/>
    <w:rsid w:val="009E35DB"/>
    <w:rsid w:val="009E47A3"/>
    <w:rsid w:val="009F08F3"/>
    <w:rsid w:val="009F0E38"/>
    <w:rsid w:val="009F344F"/>
    <w:rsid w:val="00A048A8"/>
    <w:rsid w:val="00A04F49"/>
    <w:rsid w:val="00A105B6"/>
    <w:rsid w:val="00A11D88"/>
    <w:rsid w:val="00A13E54"/>
    <w:rsid w:val="00A16731"/>
    <w:rsid w:val="00A170D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12D"/>
    <w:rsid w:val="00A657D7"/>
    <w:rsid w:val="00A660AC"/>
    <w:rsid w:val="00A664F0"/>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3D40"/>
    <w:rsid w:val="00AB4AB8"/>
    <w:rsid w:val="00AB655E"/>
    <w:rsid w:val="00AC007F"/>
    <w:rsid w:val="00AC2ECD"/>
    <w:rsid w:val="00AC3119"/>
    <w:rsid w:val="00AC49FB"/>
    <w:rsid w:val="00AC4F62"/>
    <w:rsid w:val="00AC5A10"/>
    <w:rsid w:val="00AD0AA3"/>
    <w:rsid w:val="00AD250F"/>
    <w:rsid w:val="00AD3F94"/>
    <w:rsid w:val="00AD4447"/>
    <w:rsid w:val="00AD4A5A"/>
    <w:rsid w:val="00AE27AC"/>
    <w:rsid w:val="00AE3743"/>
    <w:rsid w:val="00AE40E0"/>
    <w:rsid w:val="00AE4DBA"/>
    <w:rsid w:val="00AE4F07"/>
    <w:rsid w:val="00AF1C5D"/>
    <w:rsid w:val="00AF42D7"/>
    <w:rsid w:val="00AF46ED"/>
    <w:rsid w:val="00B006FE"/>
    <w:rsid w:val="00B007CB"/>
    <w:rsid w:val="00B02AA9"/>
    <w:rsid w:val="00B02FA3"/>
    <w:rsid w:val="00B05084"/>
    <w:rsid w:val="00B157F9"/>
    <w:rsid w:val="00B20256"/>
    <w:rsid w:val="00B20D09"/>
    <w:rsid w:val="00B272DE"/>
    <w:rsid w:val="00B2763F"/>
    <w:rsid w:val="00B27AAC"/>
    <w:rsid w:val="00B308E3"/>
    <w:rsid w:val="00B30929"/>
    <w:rsid w:val="00B372AA"/>
    <w:rsid w:val="00B40445"/>
    <w:rsid w:val="00B41888"/>
    <w:rsid w:val="00B4393D"/>
    <w:rsid w:val="00B43940"/>
    <w:rsid w:val="00B45A52"/>
    <w:rsid w:val="00B46175"/>
    <w:rsid w:val="00B54251"/>
    <w:rsid w:val="00B56E93"/>
    <w:rsid w:val="00B6188F"/>
    <w:rsid w:val="00B664C7"/>
    <w:rsid w:val="00B739F6"/>
    <w:rsid w:val="00B80E4C"/>
    <w:rsid w:val="00B81A6C"/>
    <w:rsid w:val="00B84B26"/>
    <w:rsid w:val="00B85DE5"/>
    <w:rsid w:val="00B90F73"/>
    <w:rsid w:val="00B93B59"/>
    <w:rsid w:val="00B9406A"/>
    <w:rsid w:val="00B94293"/>
    <w:rsid w:val="00BA2280"/>
    <w:rsid w:val="00BA2A08"/>
    <w:rsid w:val="00BA56D2"/>
    <w:rsid w:val="00BA76E0"/>
    <w:rsid w:val="00BB2A25"/>
    <w:rsid w:val="00BB51E9"/>
    <w:rsid w:val="00BC0FDC"/>
    <w:rsid w:val="00BC3053"/>
    <w:rsid w:val="00BC4D2E"/>
    <w:rsid w:val="00BD48AC"/>
    <w:rsid w:val="00BD5530"/>
    <w:rsid w:val="00BD5F1A"/>
    <w:rsid w:val="00BD6BF5"/>
    <w:rsid w:val="00BE1234"/>
    <w:rsid w:val="00BE14EF"/>
    <w:rsid w:val="00BE2FA6"/>
    <w:rsid w:val="00BE333F"/>
    <w:rsid w:val="00BE7406"/>
    <w:rsid w:val="00BE7603"/>
    <w:rsid w:val="00BF3279"/>
    <w:rsid w:val="00BF449C"/>
    <w:rsid w:val="00BF74C7"/>
    <w:rsid w:val="00C015F1"/>
    <w:rsid w:val="00C01F33"/>
    <w:rsid w:val="00C02CC6"/>
    <w:rsid w:val="00C040F7"/>
    <w:rsid w:val="00C041B0"/>
    <w:rsid w:val="00C044AB"/>
    <w:rsid w:val="00C05706"/>
    <w:rsid w:val="00C07377"/>
    <w:rsid w:val="00C10478"/>
    <w:rsid w:val="00C12107"/>
    <w:rsid w:val="00C121D4"/>
    <w:rsid w:val="00C14D4B"/>
    <w:rsid w:val="00C154BB"/>
    <w:rsid w:val="00C24345"/>
    <w:rsid w:val="00C2509E"/>
    <w:rsid w:val="00C279B5"/>
    <w:rsid w:val="00C27C45"/>
    <w:rsid w:val="00C3719D"/>
    <w:rsid w:val="00C52642"/>
    <w:rsid w:val="00C54995"/>
    <w:rsid w:val="00C54D41"/>
    <w:rsid w:val="00C55F8E"/>
    <w:rsid w:val="00C60783"/>
    <w:rsid w:val="00C64672"/>
    <w:rsid w:val="00C70697"/>
    <w:rsid w:val="00C72EF4"/>
    <w:rsid w:val="00C75D2F"/>
    <w:rsid w:val="00C767BE"/>
    <w:rsid w:val="00C76E3C"/>
    <w:rsid w:val="00C80749"/>
    <w:rsid w:val="00C81568"/>
    <w:rsid w:val="00C9027A"/>
    <w:rsid w:val="00C9068E"/>
    <w:rsid w:val="00C92FA6"/>
    <w:rsid w:val="00C93C4B"/>
    <w:rsid w:val="00C944AB"/>
    <w:rsid w:val="00C95B40"/>
    <w:rsid w:val="00CA1ED8"/>
    <w:rsid w:val="00CA4936"/>
    <w:rsid w:val="00CA5E34"/>
    <w:rsid w:val="00CB1F63"/>
    <w:rsid w:val="00CB2296"/>
    <w:rsid w:val="00CB3524"/>
    <w:rsid w:val="00CB7170"/>
    <w:rsid w:val="00CC000D"/>
    <w:rsid w:val="00CC040E"/>
    <w:rsid w:val="00CC111F"/>
    <w:rsid w:val="00CC2011"/>
    <w:rsid w:val="00CC3EA0"/>
    <w:rsid w:val="00CC7B45"/>
    <w:rsid w:val="00CC7DEB"/>
    <w:rsid w:val="00CD1188"/>
    <w:rsid w:val="00CD2ED1"/>
    <w:rsid w:val="00CD337B"/>
    <w:rsid w:val="00CE0424"/>
    <w:rsid w:val="00CE7561"/>
    <w:rsid w:val="00CF1354"/>
    <w:rsid w:val="00CF3920"/>
    <w:rsid w:val="00CF3B1F"/>
    <w:rsid w:val="00CF3BF6"/>
    <w:rsid w:val="00CF625B"/>
    <w:rsid w:val="00CF687E"/>
    <w:rsid w:val="00D020CC"/>
    <w:rsid w:val="00D0291C"/>
    <w:rsid w:val="00D0349B"/>
    <w:rsid w:val="00D10249"/>
    <w:rsid w:val="00D115C3"/>
    <w:rsid w:val="00D11897"/>
    <w:rsid w:val="00D13135"/>
    <w:rsid w:val="00D13E4E"/>
    <w:rsid w:val="00D239A7"/>
    <w:rsid w:val="00D23F47"/>
    <w:rsid w:val="00D24965"/>
    <w:rsid w:val="00D34CC0"/>
    <w:rsid w:val="00D36E71"/>
    <w:rsid w:val="00D37AE7"/>
    <w:rsid w:val="00D37D87"/>
    <w:rsid w:val="00D40B33"/>
    <w:rsid w:val="00D4318F"/>
    <w:rsid w:val="00D438BF"/>
    <w:rsid w:val="00D440F8"/>
    <w:rsid w:val="00D50F97"/>
    <w:rsid w:val="00D5193B"/>
    <w:rsid w:val="00D546FF"/>
    <w:rsid w:val="00D559E7"/>
    <w:rsid w:val="00D55AD5"/>
    <w:rsid w:val="00D56BE8"/>
    <w:rsid w:val="00D576CA"/>
    <w:rsid w:val="00D61AF5"/>
    <w:rsid w:val="00D652B5"/>
    <w:rsid w:val="00D65E27"/>
    <w:rsid w:val="00D66155"/>
    <w:rsid w:val="00D708B0"/>
    <w:rsid w:val="00D77B1D"/>
    <w:rsid w:val="00D8021F"/>
    <w:rsid w:val="00D80383"/>
    <w:rsid w:val="00D823C6"/>
    <w:rsid w:val="00D86CA3"/>
    <w:rsid w:val="00D871CE"/>
    <w:rsid w:val="00D9196D"/>
    <w:rsid w:val="00D92982"/>
    <w:rsid w:val="00D9541A"/>
    <w:rsid w:val="00D95919"/>
    <w:rsid w:val="00D95B83"/>
    <w:rsid w:val="00DA305E"/>
    <w:rsid w:val="00DA3263"/>
    <w:rsid w:val="00DA5417"/>
    <w:rsid w:val="00DA56E8"/>
    <w:rsid w:val="00DB0A9F"/>
    <w:rsid w:val="00DB377D"/>
    <w:rsid w:val="00DB38AE"/>
    <w:rsid w:val="00DB575F"/>
    <w:rsid w:val="00DB6C25"/>
    <w:rsid w:val="00DB6F44"/>
    <w:rsid w:val="00DC2D36"/>
    <w:rsid w:val="00DC53EF"/>
    <w:rsid w:val="00DC6A82"/>
    <w:rsid w:val="00DC717F"/>
    <w:rsid w:val="00DD432B"/>
    <w:rsid w:val="00DD6DFD"/>
    <w:rsid w:val="00DE45AD"/>
    <w:rsid w:val="00DE5608"/>
    <w:rsid w:val="00DE58D0"/>
    <w:rsid w:val="00DE654F"/>
    <w:rsid w:val="00DF0B6E"/>
    <w:rsid w:val="00DF15E0"/>
    <w:rsid w:val="00DF356A"/>
    <w:rsid w:val="00DF37A0"/>
    <w:rsid w:val="00DF6AD7"/>
    <w:rsid w:val="00E108E3"/>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363C"/>
    <w:rsid w:val="00E446F1"/>
    <w:rsid w:val="00E46886"/>
    <w:rsid w:val="00E47AEF"/>
    <w:rsid w:val="00E53B75"/>
    <w:rsid w:val="00E54E3B"/>
    <w:rsid w:val="00E57565"/>
    <w:rsid w:val="00E57C18"/>
    <w:rsid w:val="00E63838"/>
    <w:rsid w:val="00E64434"/>
    <w:rsid w:val="00E67441"/>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280"/>
    <w:rsid w:val="00EB077B"/>
    <w:rsid w:val="00EB4EA2"/>
    <w:rsid w:val="00EC17D5"/>
    <w:rsid w:val="00EC27C6"/>
    <w:rsid w:val="00EC4207"/>
    <w:rsid w:val="00EC5653"/>
    <w:rsid w:val="00EC71CE"/>
    <w:rsid w:val="00ED1006"/>
    <w:rsid w:val="00EE6805"/>
    <w:rsid w:val="00EF11A9"/>
    <w:rsid w:val="00EF18FE"/>
    <w:rsid w:val="00EF5787"/>
    <w:rsid w:val="00EF60D0"/>
    <w:rsid w:val="00F03E54"/>
    <w:rsid w:val="00F0528D"/>
    <w:rsid w:val="00F06810"/>
    <w:rsid w:val="00F06C67"/>
    <w:rsid w:val="00F06DFD"/>
    <w:rsid w:val="00F071D1"/>
    <w:rsid w:val="00F07533"/>
    <w:rsid w:val="00F10495"/>
    <w:rsid w:val="00F10629"/>
    <w:rsid w:val="00F15FA5"/>
    <w:rsid w:val="00F209B7"/>
    <w:rsid w:val="00F2376F"/>
    <w:rsid w:val="00F243D8"/>
    <w:rsid w:val="00F2621A"/>
    <w:rsid w:val="00F30828"/>
    <w:rsid w:val="00F313D6"/>
    <w:rsid w:val="00F3592F"/>
    <w:rsid w:val="00F40F0C"/>
    <w:rsid w:val="00F4766C"/>
    <w:rsid w:val="00F507D1"/>
    <w:rsid w:val="00F519CE"/>
    <w:rsid w:val="00F51ADA"/>
    <w:rsid w:val="00F55FB7"/>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2833"/>
    <w:rsid w:val="00FB4C80"/>
    <w:rsid w:val="00FB6A6A"/>
    <w:rsid w:val="00FC5EBE"/>
    <w:rsid w:val="00FC7429"/>
    <w:rsid w:val="00FD07F6"/>
    <w:rsid w:val="00FD1EC8"/>
    <w:rsid w:val="00FD47ED"/>
    <w:rsid w:val="00FD74DB"/>
    <w:rsid w:val="00FD7660"/>
    <w:rsid w:val="00FE0655"/>
    <w:rsid w:val="00FE2365"/>
    <w:rsid w:val="00FE4C7B"/>
    <w:rsid w:val="00FE7336"/>
    <w:rsid w:val="00FE787C"/>
    <w:rsid w:val="00FF45A5"/>
    <w:rsid w:val="00FF4AE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9EBAA"/>
  <w15:chartTrackingRefBased/>
  <w15:docId w15:val="{E4D1A86E-403F-45EF-8CB9-D84480854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449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
    <w:next w:val="Normal"/>
    <w:link w:val="Heading1Char"/>
    <w:qFormat/>
    <w:rsid w:val="00BF449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BF449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BF449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F449C"/>
    <w:pPr>
      <w:numPr>
        <w:ilvl w:val="3"/>
      </w:numPr>
      <w:outlineLvl w:val="3"/>
    </w:pPr>
    <w:rPr>
      <w:sz w:val="24"/>
      <w:szCs w:val="24"/>
    </w:rPr>
  </w:style>
  <w:style w:type="paragraph" w:styleId="Heading5">
    <w:name w:val="heading 5"/>
    <w:basedOn w:val="Heading4"/>
    <w:next w:val="Normal"/>
    <w:qFormat/>
    <w:rsid w:val="00BF449C"/>
    <w:pPr>
      <w:numPr>
        <w:ilvl w:val="4"/>
      </w:numPr>
      <w:outlineLvl w:val="4"/>
    </w:pPr>
    <w:rPr>
      <w:sz w:val="22"/>
      <w:szCs w:val="22"/>
    </w:rPr>
  </w:style>
  <w:style w:type="paragraph" w:styleId="Heading6">
    <w:name w:val="heading 6"/>
    <w:basedOn w:val="Normal"/>
    <w:next w:val="Normal"/>
    <w:qFormat/>
    <w:rsid w:val="00BF449C"/>
    <w:pPr>
      <w:keepNext/>
      <w:keepLines/>
      <w:numPr>
        <w:ilvl w:val="5"/>
        <w:numId w:val="1"/>
      </w:numPr>
      <w:spacing w:before="120"/>
      <w:outlineLvl w:val="5"/>
    </w:pPr>
    <w:rPr>
      <w:rFonts w:cs="Arial"/>
    </w:rPr>
  </w:style>
  <w:style w:type="paragraph" w:styleId="Heading7">
    <w:name w:val="heading 7"/>
    <w:basedOn w:val="Normal"/>
    <w:next w:val="Normal"/>
    <w:qFormat/>
    <w:rsid w:val="00BF449C"/>
    <w:pPr>
      <w:keepNext/>
      <w:keepLines/>
      <w:numPr>
        <w:ilvl w:val="6"/>
        <w:numId w:val="1"/>
      </w:numPr>
      <w:spacing w:before="120"/>
      <w:outlineLvl w:val="6"/>
    </w:pPr>
    <w:rPr>
      <w:rFonts w:cs="Arial"/>
    </w:rPr>
  </w:style>
  <w:style w:type="paragraph" w:styleId="Heading8">
    <w:name w:val="heading 8"/>
    <w:basedOn w:val="Heading7"/>
    <w:next w:val="Normal"/>
    <w:qFormat/>
    <w:rsid w:val="00BF449C"/>
    <w:pPr>
      <w:numPr>
        <w:ilvl w:val="7"/>
      </w:numPr>
      <w:outlineLvl w:val="7"/>
    </w:pPr>
  </w:style>
  <w:style w:type="paragraph" w:styleId="Heading9">
    <w:name w:val="heading 9"/>
    <w:basedOn w:val="Heading8"/>
    <w:next w:val="Normal"/>
    <w:qFormat/>
    <w:rsid w:val="00BF449C"/>
    <w:pPr>
      <w:numPr>
        <w:ilvl w:val="8"/>
      </w:numPr>
      <w:outlineLvl w:val="8"/>
    </w:pPr>
  </w:style>
  <w:style w:type="character" w:default="1" w:styleId="DefaultParagraphFont">
    <w:name w:val="Default Paragraph Font"/>
    <w:uiPriority w:val="1"/>
    <w:semiHidden/>
    <w:unhideWhenUsed/>
    <w:rsid w:val="00BF44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449C"/>
  </w:style>
  <w:style w:type="paragraph" w:styleId="TOC8">
    <w:name w:val="toc 8"/>
    <w:basedOn w:val="TOC1"/>
    <w:semiHidden/>
    <w:rsid w:val="00BF449C"/>
    <w:pPr>
      <w:spacing w:before="180"/>
      <w:ind w:left="2693" w:hanging="2693"/>
    </w:pPr>
    <w:rPr>
      <w:b w:val="0"/>
      <w:bCs/>
    </w:rPr>
  </w:style>
  <w:style w:type="paragraph" w:styleId="TOC1">
    <w:name w:val="toc 1"/>
    <w:aliases w:val="Observation TOC2"/>
    <w:uiPriority w:val="39"/>
    <w:rsid w:val="00BF449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F449C"/>
    <w:pPr>
      <w:keepNext/>
      <w:keepLines/>
      <w:spacing w:before="180"/>
      <w:jc w:val="center"/>
    </w:pPr>
  </w:style>
  <w:style w:type="paragraph" w:styleId="Caption">
    <w:name w:val="caption"/>
    <w:basedOn w:val="Normal"/>
    <w:next w:val="Normal"/>
    <w:qFormat/>
    <w:rsid w:val="00BF449C"/>
    <w:pPr>
      <w:spacing w:after="240"/>
      <w:jc w:val="center"/>
    </w:pPr>
    <w:rPr>
      <w:b/>
      <w:bCs/>
    </w:rPr>
  </w:style>
  <w:style w:type="paragraph" w:styleId="TOC5">
    <w:name w:val="toc 5"/>
    <w:aliases w:val="Observation TOC"/>
    <w:basedOn w:val="TOC4"/>
    <w:semiHidden/>
    <w:rsid w:val="00BF449C"/>
    <w:pPr>
      <w:tabs>
        <w:tab w:val="right" w:pos="1701"/>
      </w:tabs>
      <w:ind w:left="1701" w:hanging="1701"/>
    </w:pPr>
  </w:style>
  <w:style w:type="paragraph" w:styleId="TOC4">
    <w:name w:val="toc 4"/>
    <w:basedOn w:val="TOC3"/>
    <w:semiHidden/>
    <w:rsid w:val="00BF449C"/>
    <w:pPr>
      <w:ind w:left="1418" w:hanging="1418"/>
    </w:pPr>
  </w:style>
  <w:style w:type="paragraph" w:styleId="TOC3">
    <w:name w:val="toc 3"/>
    <w:basedOn w:val="TOC2"/>
    <w:semiHidden/>
    <w:rsid w:val="00BF449C"/>
    <w:pPr>
      <w:ind w:left="1134" w:hanging="1134"/>
    </w:pPr>
  </w:style>
  <w:style w:type="paragraph" w:styleId="TOC2">
    <w:name w:val="toc 2"/>
    <w:basedOn w:val="TOC1"/>
    <w:semiHidden/>
    <w:rsid w:val="00BF449C"/>
    <w:pPr>
      <w:keepNext w:val="0"/>
      <w:spacing w:before="0"/>
      <w:ind w:left="851" w:hanging="851"/>
    </w:pPr>
    <w:rPr>
      <w:szCs w:val="20"/>
    </w:rPr>
  </w:style>
  <w:style w:type="paragraph" w:styleId="Index2">
    <w:name w:val="index 2"/>
    <w:basedOn w:val="Index1"/>
    <w:semiHidden/>
    <w:rsid w:val="00BF449C"/>
    <w:pPr>
      <w:ind w:left="284"/>
    </w:pPr>
  </w:style>
  <w:style w:type="paragraph" w:styleId="Index1">
    <w:name w:val="index 1"/>
    <w:basedOn w:val="Normal"/>
    <w:semiHidden/>
    <w:rsid w:val="00BF449C"/>
    <w:pPr>
      <w:keepLines/>
      <w:spacing w:after="0"/>
    </w:pPr>
  </w:style>
  <w:style w:type="paragraph" w:styleId="DocumentMap">
    <w:name w:val="Document Map"/>
    <w:basedOn w:val="Normal"/>
    <w:semiHidden/>
    <w:rsid w:val="00BF449C"/>
    <w:pPr>
      <w:shd w:val="clear" w:color="auto" w:fill="000080"/>
    </w:pPr>
    <w:rPr>
      <w:rFonts w:ascii="Tahoma" w:hAnsi="Tahoma" w:cs="Tahoma"/>
    </w:rPr>
  </w:style>
  <w:style w:type="paragraph" w:styleId="ListNumber2">
    <w:name w:val="List Number 2"/>
    <w:basedOn w:val="ListNumber"/>
    <w:rsid w:val="00BF449C"/>
    <w:pPr>
      <w:ind w:left="851"/>
    </w:pPr>
  </w:style>
  <w:style w:type="paragraph" w:styleId="ListNumber">
    <w:name w:val="List Number"/>
    <w:basedOn w:val="List"/>
    <w:rsid w:val="00BF449C"/>
  </w:style>
  <w:style w:type="paragraph" w:styleId="List">
    <w:name w:val="List"/>
    <w:basedOn w:val="Normal"/>
    <w:rsid w:val="00BF449C"/>
    <w:pPr>
      <w:ind w:left="568" w:hanging="284"/>
    </w:pPr>
  </w:style>
  <w:style w:type="paragraph" w:styleId="Header">
    <w:name w:val="header"/>
    <w:link w:val="HeaderChar"/>
    <w:rsid w:val="00BF449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F449C"/>
    <w:rPr>
      <w:b/>
      <w:bCs/>
      <w:position w:val="6"/>
      <w:sz w:val="16"/>
      <w:szCs w:val="16"/>
    </w:rPr>
  </w:style>
  <w:style w:type="paragraph" w:styleId="FootnoteText">
    <w:name w:val="footnote text"/>
    <w:basedOn w:val="Normal"/>
    <w:semiHidden/>
    <w:rsid w:val="00BF449C"/>
    <w:pPr>
      <w:keepLines/>
      <w:spacing w:after="0"/>
      <w:ind w:left="454" w:hanging="454"/>
    </w:pPr>
    <w:rPr>
      <w:sz w:val="16"/>
      <w:szCs w:val="16"/>
    </w:rPr>
  </w:style>
  <w:style w:type="paragraph" w:customStyle="1" w:styleId="3GPPHeader">
    <w:name w:val="3GPP_Header"/>
    <w:basedOn w:val="Normal"/>
    <w:rsid w:val="00BF449C"/>
    <w:pPr>
      <w:tabs>
        <w:tab w:val="left" w:pos="1701"/>
        <w:tab w:val="right" w:pos="9639"/>
      </w:tabs>
      <w:spacing w:after="240"/>
    </w:pPr>
    <w:rPr>
      <w:b/>
      <w:sz w:val="24"/>
    </w:rPr>
  </w:style>
  <w:style w:type="paragraph" w:styleId="TOC9">
    <w:name w:val="toc 9"/>
    <w:basedOn w:val="TOC8"/>
    <w:semiHidden/>
    <w:rsid w:val="00BF449C"/>
    <w:pPr>
      <w:ind w:left="1418" w:hanging="1418"/>
    </w:pPr>
  </w:style>
  <w:style w:type="paragraph" w:styleId="TOC6">
    <w:name w:val="toc 6"/>
    <w:basedOn w:val="TOC5"/>
    <w:next w:val="Normal"/>
    <w:semiHidden/>
    <w:rsid w:val="00BF449C"/>
    <w:pPr>
      <w:ind w:left="1985" w:hanging="1985"/>
    </w:pPr>
  </w:style>
  <w:style w:type="paragraph" w:styleId="TOC7">
    <w:name w:val="toc 7"/>
    <w:basedOn w:val="TOC6"/>
    <w:next w:val="Normal"/>
    <w:semiHidden/>
    <w:rsid w:val="00BF449C"/>
    <w:pPr>
      <w:ind w:left="2268" w:hanging="2268"/>
    </w:pPr>
  </w:style>
  <w:style w:type="paragraph" w:styleId="ListBullet2">
    <w:name w:val="List Bullet 2"/>
    <w:basedOn w:val="ListBullet"/>
    <w:rsid w:val="00BF449C"/>
    <w:pPr>
      <w:numPr>
        <w:numId w:val="6"/>
      </w:numPr>
    </w:pPr>
  </w:style>
  <w:style w:type="paragraph" w:styleId="ListBullet">
    <w:name w:val="List Bullet"/>
    <w:basedOn w:val="BodyText"/>
    <w:rsid w:val="00BF449C"/>
    <w:pPr>
      <w:numPr>
        <w:numId w:val="5"/>
      </w:numPr>
    </w:pPr>
  </w:style>
  <w:style w:type="paragraph" w:styleId="ListBullet3">
    <w:name w:val="List Bullet 3"/>
    <w:basedOn w:val="ListBullet2"/>
    <w:rsid w:val="00BF449C"/>
    <w:pPr>
      <w:numPr>
        <w:numId w:val="7"/>
      </w:numPr>
    </w:pPr>
  </w:style>
  <w:style w:type="paragraph" w:customStyle="1" w:styleId="EQ">
    <w:name w:val="EQ"/>
    <w:basedOn w:val="Normal"/>
    <w:next w:val="Normal"/>
    <w:rsid w:val="00BF449C"/>
    <w:pPr>
      <w:keepLines/>
      <w:tabs>
        <w:tab w:val="center" w:pos="4536"/>
        <w:tab w:val="right" w:pos="9072"/>
      </w:tabs>
      <w:spacing w:after="180"/>
      <w:jc w:val="left"/>
    </w:pPr>
    <w:rPr>
      <w:noProof/>
      <w:lang w:eastAsia="en-US"/>
    </w:rPr>
  </w:style>
  <w:style w:type="paragraph" w:styleId="List2">
    <w:name w:val="List 2"/>
    <w:basedOn w:val="List"/>
    <w:rsid w:val="00BF449C"/>
    <w:pPr>
      <w:ind w:left="851"/>
    </w:pPr>
  </w:style>
  <w:style w:type="paragraph" w:styleId="List3">
    <w:name w:val="List 3"/>
    <w:basedOn w:val="List2"/>
    <w:rsid w:val="00BF449C"/>
    <w:pPr>
      <w:ind w:left="1135"/>
    </w:pPr>
  </w:style>
  <w:style w:type="paragraph" w:styleId="List4">
    <w:name w:val="List 4"/>
    <w:basedOn w:val="List3"/>
    <w:rsid w:val="00BF449C"/>
    <w:pPr>
      <w:ind w:left="1418"/>
    </w:pPr>
  </w:style>
  <w:style w:type="paragraph" w:styleId="List5">
    <w:name w:val="List 5"/>
    <w:basedOn w:val="List4"/>
    <w:rsid w:val="00BF449C"/>
    <w:pPr>
      <w:ind w:left="1702"/>
    </w:pPr>
  </w:style>
  <w:style w:type="paragraph" w:customStyle="1" w:styleId="EditorsNote">
    <w:name w:val="Editor's Note"/>
    <w:basedOn w:val="Normal"/>
    <w:rsid w:val="00BF449C"/>
    <w:pPr>
      <w:keepLines/>
      <w:spacing w:after="180"/>
      <w:ind w:left="1135" w:hanging="851"/>
      <w:jc w:val="left"/>
    </w:pPr>
    <w:rPr>
      <w:color w:val="FF0000"/>
      <w:lang w:eastAsia="en-US"/>
    </w:rPr>
  </w:style>
  <w:style w:type="paragraph" w:styleId="ListBullet4">
    <w:name w:val="List Bullet 4"/>
    <w:basedOn w:val="ListBullet3"/>
    <w:rsid w:val="00BF449C"/>
    <w:pPr>
      <w:numPr>
        <w:numId w:val="8"/>
      </w:numPr>
    </w:pPr>
  </w:style>
  <w:style w:type="paragraph" w:styleId="ListBullet5">
    <w:name w:val="List Bullet 5"/>
    <w:basedOn w:val="ListBullet4"/>
    <w:rsid w:val="00BF449C"/>
    <w:pPr>
      <w:numPr>
        <w:numId w:val="4"/>
      </w:numPr>
    </w:pPr>
  </w:style>
  <w:style w:type="paragraph" w:styleId="Footer">
    <w:name w:val="footer"/>
    <w:basedOn w:val="Header"/>
    <w:semiHidden/>
    <w:rsid w:val="00BF449C"/>
    <w:pPr>
      <w:jc w:val="center"/>
    </w:pPr>
    <w:rPr>
      <w:i/>
      <w:iCs/>
    </w:rPr>
  </w:style>
  <w:style w:type="paragraph" w:customStyle="1" w:styleId="Reference">
    <w:name w:val="Reference"/>
    <w:basedOn w:val="Normal"/>
    <w:rsid w:val="00BF449C"/>
    <w:pPr>
      <w:numPr>
        <w:numId w:val="2"/>
      </w:numPr>
    </w:pPr>
  </w:style>
  <w:style w:type="paragraph" w:styleId="BalloonText">
    <w:name w:val="Balloon Text"/>
    <w:basedOn w:val="Normal"/>
    <w:semiHidden/>
    <w:rsid w:val="00BF449C"/>
    <w:rPr>
      <w:rFonts w:ascii="Tahoma" w:hAnsi="Tahoma" w:cs="Tahoma"/>
      <w:sz w:val="16"/>
      <w:szCs w:val="16"/>
    </w:rPr>
  </w:style>
  <w:style w:type="character" w:styleId="PageNumber">
    <w:name w:val="page number"/>
    <w:basedOn w:val="DefaultParagraphFont"/>
    <w:semiHidden/>
    <w:rsid w:val="00BF449C"/>
  </w:style>
  <w:style w:type="paragraph" w:styleId="BodyText">
    <w:name w:val="Body Text"/>
    <w:basedOn w:val="Normal"/>
    <w:link w:val="BodyTextChar"/>
    <w:rsid w:val="00BF449C"/>
  </w:style>
  <w:style w:type="character" w:styleId="Hyperlink">
    <w:name w:val="Hyperlink"/>
    <w:uiPriority w:val="99"/>
    <w:rsid w:val="00BF449C"/>
    <w:rPr>
      <w:color w:val="0000FF"/>
      <w:u w:val="single"/>
      <w:lang w:val="en-GB"/>
    </w:rPr>
  </w:style>
  <w:style w:type="character" w:styleId="FollowedHyperlink">
    <w:name w:val="FollowedHyperlink"/>
    <w:semiHidden/>
    <w:rsid w:val="00BF449C"/>
    <w:rPr>
      <w:color w:val="FF0000"/>
      <w:u w:val="single"/>
    </w:rPr>
  </w:style>
  <w:style w:type="character" w:styleId="CommentReference">
    <w:name w:val="annotation reference"/>
    <w:semiHidden/>
    <w:rsid w:val="00BF449C"/>
    <w:rPr>
      <w:sz w:val="16"/>
      <w:szCs w:val="16"/>
    </w:rPr>
  </w:style>
  <w:style w:type="paragraph" w:styleId="CommentText">
    <w:name w:val="annotation text"/>
    <w:basedOn w:val="Normal"/>
    <w:semiHidden/>
    <w:rsid w:val="00BF449C"/>
  </w:style>
  <w:style w:type="paragraph" w:styleId="CommentSubject">
    <w:name w:val="annotation subject"/>
    <w:basedOn w:val="CommentText"/>
    <w:next w:val="CommentText"/>
    <w:semiHidden/>
    <w:rsid w:val="00BF449C"/>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F449C"/>
    <w:rPr>
      <w:rFonts w:ascii="Arial" w:hAnsi="Arial" w:cs="Arial"/>
      <w:sz w:val="36"/>
      <w:szCs w:val="36"/>
      <w:lang w:val="en-GB" w:eastAsia="zh-CN"/>
    </w:rPr>
  </w:style>
  <w:style w:type="paragraph" w:customStyle="1" w:styleId="B1">
    <w:name w:val="B1"/>
    <w:basedOn w:val="List"/>
    <w:link w:val="B1Char"/>
    <w:rsid w:val="00BF449C"/>
    <w:pPr>
      <w:spacing w:after="180"/>
      <w:jc w:val="left"/>
    </w:pPr>
    <w:rPr>
      <w:lang w:eastAsia="en-US"/>
    </w:rPr>
  </w:style>
  <w:style w:type="paragraph" w:customStyle="1" w:styleId="B2">
    <w:name w:val="B2"/>
    <w:basedOn w:val="List2"/>
    <w:link w:val="B2Char"/>
    <w:rsid w:val="00BF449C"/>
    <w:pPr>
      <w:spacing w:after="180"/>
      <w:jc w:val="left"/>
    </w:pPr>
    <w:rPr>
      <w:lang w:eastAsia="en-US"/>
    </w:rPr>
  </w:style>
  <w:style w:type="paragraph" w:customStyle="1" w:styleId="B3">
    <w:name w:val="B3"/>
    <w:basedOn w:val="List3"/>
    <w:link w:val="B3Char"/>
    <w:rsid w:val="00BF449C"/>
    <w:pPr>
      <w:spacing w:after="180"/>
      <w:jc w:val="left"/>
    </w:pPr>
    <w:rPr>
      <w:lang w:eastAsia="en-US"/>
    </w:rPr>
  </w:style>
  <w:style w:type="paragraph" w:customStyle="1" w:styleId="B4">
    <w:name w:val="B4"/>
    <w:basedOn w:val="List4"/>
    <w:link w:val="B4Char"/>
    <w:rsid w:val="00BF449C"/>
    <w:pPr>
      <w:spacing w:after="180"/>
      <w:jc w:val="left"/>
    </w:pPr>
    <w:rPr>
      <w:lang w:eastAsia="en-US"/>
    </w:rPr>
  </w:style>
  <w:style w:type="paragraph" w:customStyle="1" w:styleId="Proposal">
    <w:name w:val="Proposal"/>
    <w:basedOn w:val="Normal"/>
    <w:rsid w:val="00BF449C"/>
    <w:pPr>
      <w:numPr>
        <w:numId w:val="3"/>
      </w:numPr>
      <w:tabs>
        <w:tab w:val="clear" w:pos="1304"/>
        <w:tab w:val="left" w:pos="1701"/>
      </w:tabs>
      <w:ind w:left="1701" w:hanging="1701"/>
    </w:pPr>
    <w:rPr>
      <w:b/>
      <w:bCs/>
    </w:rPr>
  </w:style>
  <w:style w:type="character" w:customStyle="1" w:styleId="BodyTextChar">
    <w:name w:val="Body Text Char"/>
    <w:link w:val="BodyText"/>
    <w:rsid w:val="00BF449C"/>
    <w:rPr>
      <w:rFonts w:ascii="Arial" w:hAnsi="Arial"/>
      <w:lang w:val="en-GB" w:eastAsia="zh-CN"/>
    </w:rPr>
  </w:style>
  <w:style w:type="paragraph" w:customStyle="1" w:styleId="B5">
    <w:name w:val="B5"/>
    <w:basedOn w:val="List5"/>
    <w:rsid w:val="00BF449C"/>
    <w:pPr>
      <w:spacing w:after="180"/>
      <w:jc w:val="left"/>
    </w:pPr>
    <w:rPr>
      <w:lang w:eastAsia="en-US"/>
    </w:rPr>
  </w:style>
  <w:style w:type="paragraph" w:customStyle="1" w:styleId="EX">
    <w:name w:val="EX"/>
    <w:basedOn w:val="Normal"/>
    <w:rsid w:val="00BF449C"/>
    <w:pPr>
      <w:keepLines/>
      <w:spacing w:after="180"/>
      <w:ind w:left="1702" w:hanging="1418"/>
      <w:jc w:val="left"/>
    </w:pPr>
    <w:rPr>
      <w:lang w:eastAsia="en-US"/>
    </w:rPr>
  </w:style>
  <w:style w:type="paragraph" w:customStyle="1" w:styleId="EW">
    <w:name w:val="EW"/>
    <w:basedOn w:val="EX"/>
    <w:rsid w:val="00BF449C"/>
    <w:pPr>
      <w:spacing w:after="0"/>
    </w:pPr>
  </w:style>
  <w:style w:type="paragraph" w:customStyle="1" w:styleId="TAL">
    <w:name w:val="TAL"/>
    <w:basedOn w:val="Normal"/>
    <w:rsid w:val="00BF449C"/>
    <w:pPr>
      <w:keepNext/>
      <w:keepLines/>
      <w:spacing w:after="0"/>
      <w:jc w:val="left"/>
    </w:pPr>
    <w:rPr>
      <w:sz w:val="18"/>
      <w:lang w:eastAsia="en-US"/>
    </w:rPr>
  </w:style>
  <w:style w:type="paragraph" w:customStyle="1" w:styleId="TAC">
    <w:name w:val="TAC"/>
    <w:basedOn w:val="TAL"/>
    <w:rsid w:val="00BF449C"/>
    <w:pPr>
      <w:jc w:val="center"/>
    </w:pPr>
  </w:style>
  <w:style w:type="paragraph" w:customStyle="1" w:styleId="TAH">
    <w:name w:val="TAH"/>
    <w:basedOn w:val="TAC"/>
    <w:rsid w:val="00BF449C"/>
    <w:rPr>
      <w:b/>
    </w:rPr>
  </w:style>
  <w:style w:type="paragraph" w:customStyle="1" w:styleId="TAN">
    <w:name w:val="TAN"/>
    <w:basedOn w:val="TAL"/>
    <w:rsid w:val="00BF449C"/>
    <w:pPr>
      <w:ind w:left="851" w:hanging="851"/>
    </w:pPr>
  </w:style>
  <w:style w:type="paragraph" w:customStyle="1" w:styleId="TAR">
    <w:name w:val="TAR"/>
    <w:basedOn w:val="TAL"/>
    <w:rsid w:val="00BF449C"/>
    <w:pPr>
      <w:jc w:val="right"/>
    </w:pPr>
  </w:style>
  <w:style w:type="paragraph" w:customStyle="1" w:styleId="TH">
    <w:name w:val="TH"/>
    <w:basedOn w:val="Normal"/>
    <w:rsid w:val="00BF449C"/>
    <w:pPr>
      <w:keepNext/>
      <w:keepLines/>
      <w:spacing w:before="60" w:after="180"/>
      <w:jc w:val="center"/>
    </w:pPr>
    <w:rPr>
      <w:b/>
      <w:lang w:eastAsia="en-US"/>
    </w:rPr>
  </w:style>
  <w:style w:type="paragraph" w:customStyle="1" w:styleId="TF">
    <w:name w:val="TF"/>
    <w:basedOn w:val="TH"/>
    <w:rsid w:val="00BF449C"/>
    <w:pPr>
      <w:keepNext w:val="0"/>
      <w:spacing w:before="0" w:after="240"/>
    </w:pPr>
  </w:style>
  <w:style w:type="paragraph" w:customStyle="1" w:styleId="TT">
    <w:name w:val="TT"/>
    <w:basedOn w:val="Heading1"/>
    <w:next w:val="Normal"/>
    <w:rsid w:val="00BF449C"/>
    <w:pPr>
      <w:numPr>
        <w:numId w:val="0"/>
      </w:numPr>
      <w:ind w:left="1134" w:hanging="1134"/>
      <w:outlineLvl w:val="9"/>
    </w:pPr>
    <w:rPr>
      <w:rFonts w:cs="Times New Roman"/>
      <w:szCs w:val="20"/>
      <w:lang w:eastAsia="en-US"/>
    </w:rPr>
  </w:style>
  <w:style w:type="paragraph" w:customStyle="1" w:styleId="ZA">
    <w:name w:val="ZA"/>
    <w:rsid w:val="00BF44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F44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F449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F449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F449C"/>
  </w:style>
  <w:style w:type="paragraph" w:customStyle="1" w:styleId="ZH">
    <w:name w:val="ZH"/>
    <w:rsid w:val="00BF449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F449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F449C"/>
    <w:pPr>
      <w:framePr w:hRule="auto" w:wrap="notBeside" w:y="852"/>
    </w:pPr>
    <w:rPr>
      <w:i w:val="0"/>
      <w:sz w:val="40"/>
    </w:rPr>
  </w:style>
  <w:style w:type="paragraph" w:customStyle="1" w:styleId="ZU">
    <w:name w:val="ZU"/>
    <w:rsid w:val="00BF44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F449C"/>
    <w:pPr>
      <w:framePr w:wrap="notBeside" w:y="16161"/>
    </w:pPr>
  </w:style>
  <w:style w:type="paragraph" w:customStyle="1" w:styleId="FP">
    <w:name w:val="FP"/>
    <w:basedOn w:val="Normal"/>
    <w:rsid w:val="00BF449C"/>
    <w:pPr>
      <w:spacing w:after="0"/>
      <w:jc w:val="left"/>
    </w:pPr>
    <w:rPr>
      <w:lang w:eastAsia="en-US"/>
    </w:rPr>
  </w:style>
  <w:style w:type="paragraph" w:customStyle="1" w:styleId="Observation">
    <w:name w:val="Observation"/>
    <w:basedOn w:val="Proposal"/>
    <w:qFormat/>
    <w:rsid w:val="00BF449C"/>
    <w:pPr>
      <w:numPr>
        <w:numId w:val="13"/>
      </w:numPr>
      <w:ind w:left="1701" w:hanging="1701"/>
    </w:pPr>
  </w:style>
  <w:style w:type="paragraph" w:styleId="TableofFigures">
    <w:name w:val="table of figures"/>
    <w:basedOn w:val="Normal"/>
    <w:next w:val="Normal"/>
    <w:uiPriority w:val="99"/>
    <w:rsid w:val="00BF449C"/>
    <w:pPr>
      <w:ind w:left="1418" w:hanging="1418"/>
      <w:jc w:val="left"/>
    </w:pPr>
    <w:rPr>
      <w:b/>
    </w:rPr>
  </w:style>
  <w:style w:type="paragraph" w:customStyle="1" w:styleId="Doc-text2">
    <w:name w:val="Doc-text2"/>
    <w:basedOn w:val="Normal"/>
    <w:link w:val="Doc-text2Char"/>
    <w:qFormat/>
    <w:rsid w:val="00BF449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F449C"/>
    <w:rPr>
      <w:rFonts w:ascii="Arial" w:eastAsia="MS Mincho" w:hAnsi="Arial"/>
      <w:szCs w:val="24"/>
      <w:lang w:val="en-GB" w:eastAsia="en-GB"/>
    </w:rPr>
  </w:style>
  <w:style w:type="paragraph" w:customStyle="1" w:styleId="CRCoverPage">
    <w:name w:val="CR Cover Page"/>
    <w:rsid w:val="00D95919"/>
    <w:pPr>
      <w:spacing w:after="120"/>
    </w:pPr>
    <w:rPr>
      <w:rFonts w:ascii="Arial" w:hAnsi="Arial"/>
      <w:lang w:val="en-GB"/>
    </w:rPr>
  </w:style>
  <w:style w:type="character" w:customStyle="1" w:styleId="HeaderChar">
    <w:name w:val="Header Char"/>
    <w:basedOn w:val="DefaultParagraphFont"/>
    <w:link w:val="Header"/>
    <w:locked/>
    <w:rsid w:val="00397394"/>
    <w:rPr>
      <w:rFonts w:ascii="Arial" w:hAnsi="Arial" w:cs="Arial"/>
      <w:b/>
      <w:bCs/>
      <w:noProof/>
      <w:sz w:val="18"/>
      <w:szCs w:val="18"/>
      <w:lang w:eastAsia="zh-CN"/>
    </w:rPr>
  </w:style>
  <w:style w:type="paragraph" w:customStyle="1" w:styleId="IvDInstructiontext">
    <w:name w:val="IvD Instructiontext"/>
    <w:basedOn w:val="BodyText"/>
    <w:link w:val="IvDInstructiontextChar"/>
    <w:uiPriority w:val="99"/>
    <w:qFormat/>
    <w:rsid w:val="00FC5EB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C5EBE"/>
    <w:rPr>
      <w:rFonts w:ascii="Arial" w:hAnsi="Arial"/>
      <w:i/>
      <w:color w:val="7F7F7F" w:themeColor="text1" w:themeTint="80"/>
      <w:spacing w:val="2"/>
      <w:sz w:val="18"/>
      <w:szCs w:val="18"/>
    </w:rPr>
  </w:style>
  <w:style w:type="paragraph" w:styleId="NormalWeb">
    <w:name w:val="Normal (Web)"/>
    <w:basedOn w:val="Normal"/>
    <w:uiPriority w:val="99"/>
    <w:unhideWhenUsed/>
    <w:rsid w:val="00B56E93"/>
    <w:pPr>
      <w:overflowPunct/>
      <w:autoSpaceDE/>
      <w:autoSpaceDN/>
      <w:adjustRightInd/>
      <w:spacing w:before="100" w:beforeAutospacing="1" w:after="100" w:afterAutospacing="1"/>
      <w:jc w:val="left"/>
      <w:textAlignment w:val="auto"/>
    </w:pPr>
    <w:rPr>
      <w:rFonts w:ascii="Times New Roman" w:hAnsi="Times New Roman"/>
      <w:color w:val="000000"/>
      <w:sz w:val="24"/>
      <w:szCs w:val="24"/>
      <w:lang w:val="sv-SE"/>
    </w:rPr>
  </w:style>
  <w:style w:type="paragraph" w:styleId="ListParagraph">
    <w:name w:val="List Paragraph"/>
    <w:basedOn w:val="Normal"/>
    <w:uiPriority w:val="34"/>
    <w:qFormat/>
    <w:rsid w:val="005C3A0C"/>
    <w:pPr>
      <w:overflowPunct/>
      <w:autoSpaceDE/>
      <w:autoSpaceDN/>
      <w:adjustRightInd/>
      <w:spacing w:after="0"/>
      <w:ind w:left="720"/>
      <w:jc w:val="left"/>
      <w:textAlignment w:val="auto"/>
    </w:pPr>
    <w:rPr>
      <w:rFonts w:ascii="Calibri" w:eastAsiaTheme="minorEastAsia" w:hAnsi="Calibri"/>
      <w:sz w:val="22"/>
      <w:szCs w:val="22"/>
      <w:lang w:val="sv-SE"/>
    </w:rPr>
  </w:style>
  <w:style w:type="character" w:customStyle="1" w:styleId="B1Char">
    <w:name w:val="B1 Char"/>
    <w:link w:val="B1"/>
    <w:locked/>
    <w:rsid w:val="00E57C18"/>
    <w:rPr>
      <w:rFonts w:ascii="Arial" w:hAnsi="Arial"/>
      <w:lang w:val="en-GB"/>
    </w:rPr>
  </w:style>
  <w:style w:type="character" w:customStyle="1" w:styleId="B2Char">
    <w:name w:val="B2 Char"/>
    <w:link w:val="B2"/>
    <w:locked/>
    <w:rsid w:val="00E57C18"/>
    <w:rPr>
      <w:rFonts w:ascii="Arial" w:hAnsi="Arial"/>
      <w:lang w:val="en-GB"/>
    </w:rPr>
  </w:style>
  <w:style w:type="character" w:customStyle="1" w:styleId="B3Char">
    <w:name w:val="B3 Char"/>
    <w:link w:val="B3"/>
    <w:locked/>
    <w:rsid w:val="00E57C18"/>
    <w:rPr>
      <w:rFonts w:ascii="Arial" w:hAnsi="Arial"/>
      <w:lang w:val="en-GB"/>
    </w:rPr>
  </w:style>
  <w:style w:type="character" w:customStyle="1" w:styleId="B4Char">
    <w:name w:val="B4 Char"/>
    <w:link w:val="B4"/>
    <w:locked/>
    <w:rsid w:val="00E57C18"/>
    <w:rPr>
      <w:rFonts w:ascii="Arial" w:hAnsi="Arial"/>
      <w:lang w:val="en-GB"/>
    </w:rPr>
  </w:style>
  <w:style w:type="character" w:styleId="Emphasis">
    <w:name w:val="Emphasis"/>
    <w:basedOn w:val="DefaultParagraphFont"/>
    <w:uiPriority w:val="20"/>
    <w:qFormat/>
    <w:rsid w:val="009D699D"/>
    <w:rPr>
      <w:b/>
      <w:bCs/>
      <w:i w:val="0"/>
      <w:iCs w:val="0"/>
    </w:rPr>
  </w:style>
  <w:style w:type="table" w:styleId="TableGrid">
    <w:name w:val="Table Grid"/>
    <w:basedOn w:val="TableNormal"/>
    <w:rsid w:val="00266A09"/>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35214">
      <w:bodyDiv w:val="1"/>
      <w:marLeft w:val="0"/>
      <w:marRight w:val="0"/>
      <w:marTop w:val="0"/>
      <w:marBottom w:val="0"/>
      <w:divBdr>
        <w:top w:val="none" w:sz="0" w:space="0" w:color="auto"/>
        <w:left w:val="none" w:sz="0" w:space="0" w:color="auto"/>
        <w:bottom w:val="none" w:sz="0" w:space="0" w:color="auto"/>
        <w:right w:val="none" w:sz="0" w:space="0" w:color="auto"/>
      </w:divBdr>
      <w:divsChild>
        <w:div w:id="876163592">
          <w:marLeft w:val="0"/>
          <w:marRight w:val="0"/>
          <w:marTop w:val="0"/>
          <w:marBottom w:val="0"/>
          <w:divBdr>
            <w:top w:val="none" w:sz="0" w:space="0" w:color="auto"/>
            <w:left w:val="none" w:sz="0" w:space="0" w:color="auto"/>
            <w:bottom w:val="none" w:sz="0" w:space="0" w:color="auto"/>
            <w:right w:val="none" w:sz="0" w:space="0" w:color="auto"/>
          </w:divBdr>
          <w:divsChild>
            <w:div w:id="1639217562">
              <w:marLeft w:val="0"/>
              <w:marRight w:val="0"/>
              <w:marTop w:val="0"/>
              <w:marBottom w:val="0"/>
              <w:divBdr>
                <w:top w:val="none" w:sz="0" w:space="0" w:color="auto"/>
                <w:left w:val="none" w:sz="0" w:space="0" w:color="auto"/>
                <w:bottom w:val="none" w:sz="0" w:space="0" w:color="auto"/>
                <w:right w:val="none" w:sz="0" w:space="0" w:color="auto"/>
              </w:divBdr>
              <w:divsChild>
                <w:div w:id="1653213254">
                  <w:marLeft w:val="0"/>
                  <w:marRight w:val="0"/>
                  <w:marTop w:val="0"/>
                  <w:marBottom w:val="0"/>
                  <w:divBdr>
                    <w:top w:val="none" w:sz="0" w:space="0" w:color="auto"/>
                    <w:left w:val="none" w:sz="0" w:space="0" w:color="auto"/>
                    <w:bottom w:val="none" w:sz="0" w:space="0" w:color="auto"/>
                    <w:right w:val="none" w:sz="0" w:space="0" w:color="auto"/>
                  </w:divBdr>
                  <w:divsChild>
                    <w:div w:id="773743445">
                      <w:marLeft w:val="0"/>
                      <w:marRight w:val="0"/>
                      <w:marTop w:val="0"/>
                      <w:marBottom w:val="0"/>
                      <w:divBdr>
                        <w:top w:val="none" w:sz="0" w:space="0" w:color="auto"/>
                        <w:left w:val="none" w:sz="0" w:space="0" w:color="auto"/>
                        <w:bottom w:val="none" w:sz="0" w:space="0" w:color="auto"/>
                        <w:right w:val="none" w:sz="0" w:space="0" w:color="auto"/>
                      </w:divBdr>
                      <w:divsChild>
                        <w:div w:id="986783744">
                          <w:marLeft w:val="0"/>
                          <w:marRight w:val="0"/>
                          <w:marTop w:val="0"/>
                          <w:marBottom w:val="0"/>
                          <w:divBdr>
                            <w:top w:val="none" w:sz="0" w:space="0" w:color="auto"/>
                            <w:left w:val="none" w:sz="0" w:space="0" w:color="auto"/>
                            <w:bottom w:val="none" w:sz="0" w:space="0" w:color="auto"/>
                            <w:right w:val="none" w:sz="0" w:space="0" w:color="auto"/>
                          </w:divBdr>
                          <w:divsChild>
                            <w:div w:id="488982094">
                              <w:marLeft w:val="0"/>
                              <w:marRight w:val="0"/>
                              <w:marTop w:val="0"/>
                              <w:marBottom w:val="0"/>
                              <w:divBdr>
                                <w:top w:val="none" w:sz="0" w:space="0" w:color="auto"/>
                                <w:left w:val="none" w:sz="0" w:space="0" w:color="auto"/>
                                <w:bottom w:val="none" w:sz="0" w:space="0" w:color="auto"/>
                                <w:right w:val="none" w:sz="0" w:space="0" w:color="auto"/>
                              </w:divBdr>
                              <w:divsChild>
                                <w:div w:id="602229863">
                                  <w:marLeft w:val="0"/>
                                  <w:marRight w:val="0"/>
                                  <w:marTop w:val="0"/>
                                  <w:marBottom w:val="0"/>
                                  <w:divBdr>
                                    <w:top w:val="none" w:sz="0" w:space="0" w:color="auto"/>
                                    <w:left w:val="none" w:sz="0" w:space="0" w:color="auto"/>
                                    <w:bottom w:val="none" w:sz="0" w:space="0" w:color="auto"/>
                                    <w:right w:val="none" w:sz="0" w:space="0" w:color="auto"/>
                                  </w:divBdr>
                                  <w:divsChild>
                                    <w:div w:id="371350392">
                                      <w:marLeft w:val="0"/>
                                      <w:marRight w:val="0"/>
                                      <w:marTop w:val="0"/>
                                      <w:marBottom w:val="0"/>
                                      <w:divBdr>
                                        <w:top w:val="none" w:sz="0" w:space="0" w:color="auto"/>
                                        <w:left w:val="none" w:sz="0" w:space="0" w:color="auto"/>
                                        <w:bottom w:val="none" w:sz="0" w:space="0" w:color="auto"/>
                                        <w:right w:val="none" w:sz="0" w:space="0" w:color="auto"/>
                                      </w:divBdr>
                                      <w:divsChild>
                                        <w:div w:id="1964578691">
                                          <w:marLeft w:val="0"/>
                                          <w:marRight w:val="0"/>
                                          <w:marTop w:val="0"/>
                                          <w:marBottom w:val="0"/>
                                          <w:divBdr>
                                            <w:top w:val="none" w:sz="0" w:space="0" w:color="auto"/>
                                            <w:left w:val="none" w:sz="0" w:space="0" w:color="auto"/>
                                            <w:bottom w:val="none" w:sz="0" w:space="0" w:color="auto"/>
                                            <w:right w:val="none" w:sz="0" w:space="0" w:color="auto"/>
                                          </w:divBdr>
                                          <w:divsChild>
                                            <w:div w:id="1065181931">
                                              <w:marLeft w:val="0"/>
                                              <w:marRight w:val="0"/>
                                              <w:marTop w:val="0"/>
                                              <w:marBottom w:val="0"/>
                                              <w:divBdr>
                                                <w:top w:val="none" w:sz="0" w:space="0" w:color="auto"/>
                                                <w:left w:val="none" w:sz="0" w:space="0" w:color="auto"/>
                                                <w:bottom w:val="none" w:sz="0" w:space="0" w:color="auto"/>
                                                <w:right w:val="none" w:sz="0" w:space="0" w:color="auto"/>
                                              </w:divBdr>
                                              <w:divsChild>
                                                <w:div w:id="956301994">
                                                  <w:marLeft w:val="0"/>
                                                  <w:marRight w:val="0"/>
                                                  <w:marTop w:val="0"/>
                                                  <w:marBottom w:val="0"/>
                                                  <w:divBdr>
                                                    <w:top w:val="none" w:sz="0" w:space="0" w:color="auto"/>
                                                    <w:left w:val="none" w:sz="0" w:space="0" w:color="auto"/>
                                                    <w:bottom w:val="none" w:sz="0" w:space="0" w:color="auto"/>
                                                    <w:right w:val="none" w:sz="0" w:space="0" w:color="auto"/>
                                                  </w:divBdr>
                                                  <w:divsChild>
                                                    <w:div w:id="350957346">
                                                      <w:marLeft w:val="0"/>
                                                      <w:marRight w:val="0"/>
                                                      <w:marTop w:val="0"/>
                                                      <w:marBottom w:val="0"/>
                                                      <w:divBdr>
                                                        <w:top w:val="none" w:sz="0" w:space="0" w:color="auto"/>
                                                        <w:left w:val="none" w:sz="0" w:space="0" w:color="auto"/>
                                                        <w:bottom w:val="none" w:sz="0" w:space="0" w:color="auto"/>
                                                        <w:right w:val="none" w:sz="0" w:space="0" w:color="auto"/>
                                                      </w:divBdr>
                                                      <w:divsChild>
                                                        <w:div w:id="621881924">
                                                          <w:marLeft w:val="0"/>
                                                          <w:marRight w:val="0"/>
                                                          <w:marTop w:val="450"/>
                                                          <w:marBottom w:val="450"/>
                                                          <w:divBdr>
                                                            <w:top w:val="none" w:sz="0" w:space="0" w:color="auto"/>
                                                            <w:left w:val="none" w:sz="0" w:space="0" w:color="auto"/>
                                                            <w:bottom w:val="none" w:sz="0" w:space="0" w:color="auto"/>
                                                            <w:right w:val="none" w:sz="0" w:space="0" w:color="auto"/>
                                                          </w:divBdr>
                                                          <w:divsChild>
                                                            <w:div w:id="621499589">
                                                              <w:marLeft w:val="0"/>
                                                              <w:marRight w:val="0"/>
                                                              <w:marTop w:val="0"/>
                                                              <w:marBottom w:val="0"/>
                                                              <w:divBdr>
                                                                <w:top w:val="none" w:sz="0" w:space="0" w:color="auto"/>
                                                                <w:left w:val="none" w:sz="0" w:space="0" w:color="auto"/>
                                                                <w:bottom w:val="none" w:sz="0" w:space="0" w:color="auto"/>
                                                                <w:right w:val="none" w:sz="0" w:space="0" w:color="auto"/>
                                                              </w:divBdr>
                                                              <w:divsChild>
                                                                <w:div w:id="934291343">
                                                                  <w:marLeft w:val="0"/>
                                                                  <w:marRight w:val="0"/>
                                                                  <w:marTop w:val="525"/>
                                                                  <w:marBottom w:val="300"/>
                                                                  <w:divBdr>
                                                                    <w:top w:val="single" w:sz="6" w:space="0" w:color="8CE1F5"/>
                                                                    <w:left w:val="single" w:sz="6" w:space="11" w:color="8CE1F5"/>
                                                                    <w:bottom w:val="single" w:sz="6" w:space="0" w:color="8CE1F5"/>
                                                                    <w:right w:val="single" w:sz="6" w:space="11" w:color="8CE1F5"/>
                                                                  </w:divBdr>
                                                                  <w:divsChild>
                                                                    <w:div w:id="393705251">
                                                                      <w:marLeft w:val="0"/>
                                                                      <w:marRight w:val="0"/>
                                                                      <w:marTop w:val="0"/>
                                                                      <w:marBottom w:val="0"/>
                                                                      <w:divBdr>
                                                                        <w:top w:val="none" w:sz="0" w:space="0" w:color="auto"/>
                                                                        <w:left w:val="none" w:sz="0" w:space="0" w:color="auto"/>
                                                                        <w:bottom w:val="none" w:sz="0" w:space="0" w:color="auto"/>
                                                                        <w:right w:val="none" w:sz="0" w:space="0" w:color="auto"/>
                                                                      </w:divBdr>
                                                                      <w:divsChild>
                                                                        <w:div w:id="721826480">
                                                                          <w:marLeft w:val="0"/>
                                                                          <w:marRight w:val="0"/>
                                                                          <w:marTop w:val="0"/>
                                                                          <w:marBottom w:val="0"/>
                                                                          <w:divBdr>
                                                                            <w:top w:val="single" w:sz="6" w:space="11" w:color="8CE1F5"/>
                                                                            <w:left w:val="none" w:sz="0" w:space="0" w:color="auto"/>
                                                                            <w:bottom w:val="none" w:sz="0" w:space="0" w:color="auto"/>
                                                                            <w:right w:val="none" w:sz="0" w:space="0" w:color="auto"/>
                                                                          </w:divBdr>
                                                                          <w:divsChild>
                                                                            <w:div w:id="1364750225">
                                                                              <w:marLeft w:val="0"/>
                                                                              <w:marRight w:val="0"/>
                                                                              <w:marTop w:val="0"/>
                                                                              <w:marBottom w:val="0"/>
                                                                              <w:divBdr>
                                                                                <w:top w:val="none" w:sz="0" w:space="0" w:color="auto"/>
                                                                                <w:left w:val="none" w:sz="0" w:space="0" w:color="auto"/>
                                                                                <w:bottom w:val="none" w:sz="0" w:space="0" w:color="auto"/>
                                                                                <w:right w:val="none" w:sz="0" w:space="0" w:color="auto"/>
                                                                              </w:divBdr>
                                                                              <w:divsChild>
                                                                                <w:div w:id="1991517769">
                                                                                  <w:marLeft w:val="0"/>
                                                                                  <w:marRight w:val="0"/>
                                                                                  <w:marTop w:val="0"/>
                                                                                  <w:marBottom w:val="0"/>
                                                                                  <w:divBdr>
                                                                                    <w:top w:val="none" w:sz="0" w:space="0" w:color="auto"/>
                                                                                    <w:left w:val="none" w:sz="0" w:space="0" w:color="auto"/>
                                                                                    <w:bottom w:val="none" w:sz="0" w:space="0" w:color="auto"/>
                                                                                    <w:right w:val="none" w:sz="0" w:space="0" w:color="auto"/>
                                                                                  </w:divBdr>
                                                                                  <w:divsChild>
                                                                                    <w:div w:id="902258774">
                                                                                      <w:marLeft w:val="0"/>
                                                                                      <w:marRight w:val="0"/>
                                                                                      <w:marTop w:val="0"/>
                                                                                      <w:marBottom w:val="0"/>
                                                                                      <w:divBdr>
                                                                                        <w:top w:val="none" w:sz="0" w:space="0" w:color="auto"/>
                                                                                        <w:left w:val="none" w:sz="0" w:space="0" w:color="auto"/>
                                                                                        <w:bottom w:val="none" w:sz="0" w:space="0" w:color="auto"/>
                                                                                        <w:right w:val="none" w:sz="0" w:space="0" w:color="auto"/>
                                                                                      </w:divBdr>
                                                                                      <w:divsChild>
                                                                                        <w:div w:id="897859830">
                                                                                          <w:marLeft w:val="0"/>
                                                                                          <w:marRight w:val="0"/>
                                                                                          <w:marTop w:val="0"/>
                                                                                          <w:marBottom w:val="0"/>
                                                                                          <w:divBdr>
                                                                                            <w:top w:val="none" w:sz="0" w:space="0" w:color="auto"/>
                                                                                            <w:left w:val="none" w:sz="0" w:space="0" w:color="auto"/>
                                                                                            <w:bottom w:val="none" w:sz="0" w:space="0" w:color="auto"/>
                                                                                            <w:right w:val="none" w:sz="0" w:space="0" w:color="auto"/>
                                                                                          </w:divBdr>
                                                                                          <w:divsChild>
                                                                                            <w:div w:id="1541671051">
                                                                                              <w:marLeft w:val="0"/>
                                                                                              <w:marRight w:val="0"/>
                                                                                              <w:marTop w:val="0"/>
                                                                                              <w:marBottom w:val="220"/>
                                                                                              <w:divBdr>
                                                                                                <w:top w:val="none" w:sz="0" w:space="0" w:color="auto"/>
                                                                                                <w:left w:val="none" w:sz="0" w:space="0" w:color="auto"/>
                                                                                                <w:bottom w:val="none" w:sz="0" w:space="0" w:color="auto"/>
                                                                                                <w:right w:val="none" w:sz="0" w:space="0" w:color="auto"/>
                                                                                              </w:divBdr>
                                                                                              <w:divsChild>
                                                                                                <w:div w:id="2119182388">
                                                                                                  <w:marLeft w:val="0"/>
                                                                                                  <w:marRight w:val="0"/>
                                                                                                  <w:marTop w:val="0"/>
                                                                                                  <w:marBottom w:val="220"/>
                                                                                                  <w:divBdr>
                                                                                                    <w:top w:val="none" w:sz="0" w:space="0" w:color="auto"/>
                                                                                                    <w:left w:val="none" w:sz="0" w:space="0" w:color="auto"/>
                                                                                                    <w:bottom w:val="none" w:sz="0" w:space="0" w:color="auto"/>
                                                                                                    <w:right w:val="none" w:sz="0" w:space="0" w:color="auto"/>
                                                                                                  </w:divBdr>
                                                                                                  <w:divsChild>
                                                                                                    <w:div w:id="118463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4263179">
      <w:bodyDiv w:val="1"/>
      <w:marLeft w:val="0"/>
      <w:marRight w:val="0"/>
      <w:marTop w:val="0"/>
      <w:marBottom w:val="0"/>
      <w:divBdr>
        <w:top w:val="none" w:sz="0" w:space="0" w:color="auto"/>
        <w:left w:val="none" w:sz="0" w:space="0" w:color="auto"/>
        <w:bottom w:val="none" w:sz="0" w:space="0" w:color="auto"/>
        <w:right w:val="none" w:sz="0" w:space="0" w:color="auto"/>
      </w:divBdr>
    </w:div>
    <w:div w:id="319777258">
      <w:bodyDiv w:val="1"/>
      <w:marLeft w:val="0"/>
      <w:marRight w:val="0"/>
      <w:marTop w:val="0"/>
      <w:marBottom w:val="0"/>
      <w:divBdr>
        <w:top w:val="none" w:sz="0" w:space="0" w:color="auto"/>
        <w:left w:val="none" w:sz="0" w:space="0" w:color="auto"/>
        <w:bottom w:val="none" w:sz="0" w:space="0" w:color="auto"/>
        <w:right w:val="none" w:sz="0" w:space="0" w:color="auto"/>
      </w:divBdr>
    </w:div>
    <w:div w:id="1079868492">
      <w:bodyDiv w:val="1"/>
      <w:marLeft w:val="0"/>
      <w:marRight w:val="0"/>
      <w:marTop w:val="0"/>
      <w:marBottom w:val="0"/>
      <w:divBdr>
        <w:top w:val="none" w:sz="0" w:space="0" w:color="auto"/>
        <w:left w:val="none" w:sz="0" w:space="0" w:color="auto"/>
        <w:bottom w:val="none" w:sz="0" w:space="0" w:color="auto"/>
        <w:right w:val="none" w:sz="0" w:space="0" w:color="auto"/>
      </w:divBdr>
    </w:div>
    <w:div w:id="116000393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2280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5NUHHDQN7SK2-1-185528</_dlc_DocId>
    <_dlc_DocIdUrl xmlns="08b2df90-05d3-4030-90d4-c9feeb4a1cd9">
      <Url>https://ericoll.internal.ericsson.com/sites/star/_layouts/DocIdRedir.aspx?ID=5NUHHDQN7SK2-1-185528</Url>
      <Description>5NUHHDQN7SK2-1-185528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file>

<file path=customXml/itemProps2.xml><?xml version="1.0" encoding="utf-8"?>
<ds:datastoreItem xmlns:ds="http://schemas.openxmlformats.org/officeDocument/2006/customXml" ds:itemID="{A6ADDEA9-6B92-4E8E-BF1A-BE0E057DD172}"/>
</file>

<file path=customXml/itemProps3.xml><?xml version="1.0" encoding="utf-8"?>
<ds:datastoreItem xmlns:ds="http://schemas.openxmlformats.org/officeDocument/2006/customXml" ds:itemID="{9F5946CB-8946-499C-8B44-7DE1A592D1D0}"/>
</file>

<file path=customXml/itemProps4.xml><?xml version="1.0" encoding="utf-8"?>
<ds:datastoreItem xmlns:ds="http://schemas.openxmlformats.org/officeDocument/2006/customXml" ds:itemID="{BEE23EE5-5864-4ADF-A848-295F30FA12F3}"/>
</file>

<file path=customXml/itemProps5.xml><?xml version="1.0" encoding="utf-8"?>
<ds:datastoreItem xmlns:ds="http://schemas.openxmlformats.org/officeDocument/2006/customXml" ds:itemID="{55E0644C-6BEA-4A28-8785-968290B61A99}"/>
</file>

<file path=customXml/itemProps6.xml><?xml version="1.0" encoding="utf-8"?>
<ds:datastoreItem xmlns:ds="http://schemas.openxmlformats.org/officeDocument/2006/customXml" ds:itemID="{9B36E9F0-9DBD-40EA-AED0-3F87E0FBAA56}"/>
</file>

<file path=customXml/itemProps7.xml><?xml version="1.0" encoding="utf-8"?>
<ds:datastoreItem xmlns:ds="http://schemas.openxmlformats.org/officeDocument/2006/customXml" ds:itemID="{52C4800B-72DE-4A55-849A-68814B7ADC68}"/>
</file>

<file path=docProps/app.xml><?xml version="1.0" encoding="utf-8"?>
<Properties xmlns="http://schemas.openxmlformats.org/officeDocument/2006/extended-properties" xmlns:vt="http://schemas.openxmlformats.org/officeDocument/2006/docPropsVTypes">
  <Template>R2-17xxxxx%20-%20Contribution%20Template.dotx</Template>
  <TotalTime>151</TotalTime>
  <Pages>2</Pages>
  <Words>831</Words>
  <Characters>3881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dc:creator>
  <cp:keywords>Ericsson; TDoc; 3GPP</cp:keywords>
  <cp:lastModifiedBy>Ericsson</cp:lastModifiedBy>
  <cp:revision>70</cp:revision>
  <cp:lastPrinted>2008-01-31T16:09:00Z</cp:lastPrinted>
  <dcterms:created xsi:type="dcterms:W3CDTF">2017-11-10T10:33:00Z</dcterms:created>
  <dcterms:modified xsi:type="dcterms:W3CDTF">2017-11-16T22:10:00Z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9d93080f-4d4e-46ed-8495-c1503c52ac23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